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4F3" w:rsidRDefault="00F764F3">
      <w:pPr>
        <w:ind w:left="1200"/>
        <w:rPr>
          <w:rFonts w:ascii="Arial" w:hAnsi="Arial" w:cs="Arial"/>
          <w:b/>
          <w:sz w:val="30"/>
        </w:rPr>
      </w:pPr>
      <w:r>
        <w:rPr>
          <w:rFonts w:ascii="Arial" w:hAnsi="Arial" w:cs="Arial"/>
          <w:b/>
          <w:sz w:val="30"/>
        </w:rPr>
        <w:tab/>
      </w:r>
    </w:p>
    <w:tbl>
      <w:tblPr>
        <w:tblStyle w:val="Mkatabulky"/>
        <w:tblW w:w="0" w:type="auto"/>
        <w:tblInd w:w="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tblGrid>
      <w:tr w:rsidR="00F6608B" w:rsidTr="00F6608B">
        <w:tc>
          <w:tcPr>
            <w:tcW w:w="3235" w:type="dxa"/>
          </w:tcPr>
          <w:p w:rsidR="00F6608B" w:rsidRDefault="00F6608B" w:rsidP="00F6608B">
            <w:pPr>
              <w:tabs>
                <w:tab w:val="left" w:pos="4400"/>
                <w:tab w:val="left" w:pos="4876"/>
              </w:tabs>
              <w:rPr>
                <w:rFonts w:ascii="Arial" w:hAnsi="Arial" w:cs="Arial"/>
                <w:sz w:val="16"/>
                <w:szCs w:val="16"/>
              </w:rPr>
            </w:pPr>
          </w:p>
          <w:p w:rsidR="00F6608B" w:rsidRPr="00363E98" w:rsidRDefault="00F6608B" w:rsidP="00F6608B">
            <w:pPr>
              <w:spacing w:before="120"/>
              <w:rPr>
                <w:rFonts w:ascii="Arial" w:hAnsi="Arial" w:cs="Arial"/>
                <w:sz w:val="16"/>
                <w:szCs w:val="16"/>
              </w:rPr>
            </w:pPr>
            <w:r w:rsidRPr="00363E98">
              <w:rPr>
                <w:rFonts w:ascii="Arial" w:hAnsi="Arial" w:cs="Arial"/>
                <w:sz w:val="16"/>
                <w:szCs w:val="16"/>
              </w:rPr>
              <w:t>ODDĚLENÍ</w:t>
            </w:r>
          </w:p>
          <w:p w:rsidR="00F6608B" w:rsidRDefault="00F6608B" w:rsidP="00F6608B">
            <w:pPr>
              <w:tabs>
                <w:tab w:val="left" w:pos="4400"/>
                <w:tab w:val="left" w:pos="4876"/>
              </w:tabs>
              <w:rPr>
                <w:rFonts w:ascii="Arial" w:hAnsi="Arial" w:cs="Arial"/>
                <w:sz w:val="16"/>
                <w:szCs w:val="16"/>
              </w:rPr>
            </w:pPr>
            <w:r w:rsidRPr="00363E98">
              <w:rPr>
                <w:rFonts w:ascii="Arial" w:hAnsi="Arial" w:cs="Arial"/>
                <w:b/>
                <w:sz w:val="16"/>
                <w:szCs w:val="16"/>
              </w:rPr>
              <w:t>SPRÁVA CHKO BROUMOVSKO</w:t>
            </w:r>
          </w:p>
          <w:p w:rsidR="00F6608B" w:rsidRPr="00363E98" w:rsidRDefault="00F6608B" w:rsidP="00F6608B">
            <w:pPr>
              <w:tabs>
                <w:tab w:val="left" w:pos="4400"/>
                <w:tab w:val="left" w:pos="4876"/>
              </w:tabs>
              <w:rPr>
                <w:rFonts w:ascii="Arial" w:hAnsi="Arial" w:cs="Arial"/>
                <w:sz w:val="16"/>
                <w:szCs w:val="16"/>
              </w:rPr>
            </w:pPr>
            <w:r w:rsidRPr="00363E98">
              <w:rPr>
                <w:rFonts w:ascii="Arial" w:hAnsi="Arial" w:cs="Arial"/>
                <w:sz w:val="16"/>
                <w:szCs w:val="16"/>
              </w:rPr>
              <w:t>Ledhujská 59</w:t>
            </w:r>
          </w:p>
          <w:p w:rsidR="00F6608B" w:rsidRPr="00363E98" w:rsidRDefault="00F6608B" w:rsidP="00F6608B">
            <w:pPr>
              <w:tabs>
                <w:tab w:val="left" w:pos="3960"/>
                <w:tab w:val="left" w:pos="4876"/>
              </w:tabs>
              <w:rPr>
                <w:rFonts w:ascii="Arial" w:hAnsi="Arial" w:cs="Arial"/>
                <w:sz w:val="16"/>
                <w:szCs w:val="16"/>
              </w:rPr>
            </w:pPr>
            <w:r w:rsidRPr="00363E98">
              <w:rPr>
                <w:rFonts w:ascii="Arial" w:hAnsi="Arial" w:cs="Arial"/>
                <w:sz w:val="16"/>
                <w:szCs w:val="16"/>
              </w:rPr>
              <w:t>549 54 Police nad Metují</w:t>
            </w:r>
          </w:p>
          <w:p w:rsidR="00F6608B" w:rsidRPr="00363E98" w:rsidRDefault="00F6608B" w:rsidP="00F6608B">
            <w:pPr>
              <w:rPr>
                <w:rFonts w:ascii="Arial" w:hAnsi="Arial" w:cs="Arial"/>
                <w:sz w:val="16"/>
                <w:szCs w:val="16"/>
              </w:rPr>
            </w:pPr>
            <w:r w:rsidRPr="00363E98">
              <w:rPr>
                <w:rFonts w:ascii="Arial" w:hAnsi="Arial" w:cs="Arial"/>
                <w:sz w:val="16"/>
                <w:szCs w:val="16"/>
              </w:rPr>
              <w:t>tel.: +420 491 549 020 – 33</w:t>
            </w:r>
          </w:p>
          <w:p w:rsidR="00F6608B" w:rsidRPr="00363E98" w:rsidRDefault="00F6608B" w:rsidP="00F6608B">
            <w:pPr>
              <w:rPr>
                <w:rFonts w:ascii="Arial" w:hAnsi="Arial" w:cs="Arial"/>
                <w:sz w:val="16"/>
                <w:szCs w:val="16"/>
              </w:rPr>
            </w:pPr>
            <w:r w:rsidRPr="00363E98">
              <w:rPr>
                <w:rFonts w:ascii="Arial" w:hAnsi="Arial" w:cs="Arial"/>
                <w:sz w:val="16"/>
                <w:szCs w:val="16"/>
              </w:rPr>
              <w:t>e-mail: broumovsko@nature.cz</w:t>
            </w:r>
          </w:p>
          <w:p w:rsidR="00F6608B" w:rsidRPr="00363E98" w:rsidRDefault="00F6608B" w:rsidP="00F6608B">
            <w:pPr>
              <w:rPr>
                <w:rFonts w:ascii="Arial" w:hAnsi="Arial" w:cs="Arial"/>
                <w:sz w:val="16"/>
                <w:szCs w:val="16"/>
              </w:rPr>
            </w:pPr>
            <w:r w:rsidRPr="00363E98">
              <w:rPr>
                <w:rFonts w:ascii="Arial" w:hAnsi="Arial" w:cs="Arial"/>
                <w:sz w:val="16"/>
                <w:szCs w:val="16"/>
              </w:rPr>
              <w:t>http://www.nature.cz</w:t>
            </w:r>
          </w:p>
          <w:p w:rsidR="00F6608B" w:rsidRPr="00363E98" w:rsidRDefault="00F6608B" w:rsidP="00F6608B">
            <w:pPr>
              <w:rPr>
                <w:rFonts w:ascii="Arial" w:hAnsi="Arial" w:cs="Arial"/>
                <w:sz w:val="16"/>
                <w:szCs w:val="16"/>
              </w:rPr>
            </w:pPr>
            <w:r w:rsidRPr="00363E98">
              <w:rPr>
                <w:rFonts w:ascii="Arial" w:hAnsi="Arial" w:cs="Arial"/>
                <w:sz w:val="16"/>
                <w:szCs w:val="16"/>
              </w:rPr>
              <w:t>IDDS: kpddyvy</w:t>
            </w:r>
          </w:p>
          <w:p w:rsidR="00F6608B" w:rsidRDefault="00F6608B">
            <w:pPr>
              <w:rPr>
                <w:rFonts w:ascii="Arial" w:hAnsi="Arial" w:cs="Arial"/>
                <w:b/>
                <w:sz w:val="24"/>
                <w:szCs w:val="24"/>
              </w:rPr>
            </w:pPr>
          </w:p>
        </w:tc>
      </w:tr>
    </w:tbl>
    <w:tbl>
      <w:tblPr>
        <w:tblStyle w:val="Mkatabulky"/>
        <w:tblpPr w:leftFromText="141" w:rightFromText="141" w:vertAnchor="text" w:horzAnchor="margin" w:tblpXSpec="right" w:tblpY="-13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7"/>
      </w:tblGrid>
      <w:tr w:rsidR="00F6608B" w:rsidTr="00A27FA9">
        <w:trPr>
          <w:trHeight w:val="1231"/>
        </w:trPr>
        <w:tc>
          <w:tcPr>
            <w:tcW w:w="2487" w:type="dxa"/>
          </w:tcPr>
          <w:p w:rsidR="00A27FA9" w:rsidRDefault="00A27FA9" w:rsidP="00F6608B">
            <w:pPr>
              <w:rPr>
                <w:rFonts w:ascii="Arial" w:hAnsi="Arial" w:cs="Arial"/>
                <w:b/>
                <w:sz w:val="24"/>
                <w:szCs w:val="24"/>
              </w:rPr>
            </w:pPr>
            <w:r>
              <w:rPr>
                <w:rFonts w:ascii="Arial" w:hAnsi="Arial" w:cs="Arial"/>
                <w:b/>
                <w:sz w:val="24"/>
                <w:szCs w:val="24"/>
              </w:rPr>
              <w:t xml:space="preserve">Ing. </w:t>
            </w:r>
            <w:r w:rsidR="00134F58">
              <w:rPr>
                <w:rFonts w:ascii="Arial" w:hAnsi="Arial" w:cs="Arial"/>
                <w:b/>
                <w:sz w:val="24"/>
                <w:szCs w:val="24"/>
              </w:rPr>
              <w:t xml:space="preserve">XXX </w:t>
            </w:r>
          </w:p>
          <w:p w:rsidR="00A27FA9" w:rsidRDefault="00A27FA9" w:rsidP="00A27FA9">
            <w:pPr>
              <w:ind w:left="-426"/>
              <w:rPr>
                <w:rFonts w:ascii="Arial" w:hAnsi="Arial" w:cs="Arial"/>
                <w:b/>
                <w:sz w:val="24"/>
                <w:szCs w:val="24"/>
              </w:rPr>
            </w:pPr>
          </w:p>
        </w:tc>
      </w:tr>
    </w:tbl>
    <w:p w:rsidR="00F6608B" w:rsidRDefault="00F6608B">
      <w:pPr>
        <w:ind w:left="1200"/>
        <w:rPr>
          <w:rFonts w:ascii="Arial" w:hAnsi="Arial" w:cs="Arial"/>
          <w:b/>
          <w:sz w:val="24"/>
          <w:szCs w:val="24"/>
        </w:rPr>
      </w:pPr>
      <w:r>
        <w:rPr>
          <w:rFonts w:ascii="Arial" w:hAnsi="Arial" w:cs="Arial"/>
          <w:b/>
          <w:sz w:val="24"/>
          <w:szCs w:val="24"/>
        </w:rPr>
        <w:t xml:space="preserve">    </w:t>
      </w:r>
    </w:p>
    <w:p w:rsidR="00F764F3" w:rsidRPr="00B72C7D" w:rsidRDefault="00F764F3">
      <w:pPr>
        <w:ind w:left="1200"/>
        <w:rPr>
          <w:rFonts w:ascii="Arial" w:hAnsi="Arial" w:cs="Arial"/>
          <w:b/>
          <w:sz w:val="16"/>
          <w:szCs w:val="16"/>
        </w:rPr>
      </w:pPr>
    </w:p>
    <w:p w:rsidR="00B82D26" w:rsidRPr="00B72C7D" w:rsidRDefault="00B82D26" w:rsidP="00F6608B">
      <w:pPr>
        <w:spacing w:after="120" w:line="360" w:lineRule="auto"/>
        <w:ind w:left="851"/>
        <w:jc w:val="both"/>
        <w:rPr>
          <w:rFonts w:ascii="Arial" w:hAnsi="Arial" w:cs="Arial"/>
          <w:b/>
          <w:sz w:val="16"/>
          <w:szCs w:val="16"/>
        </w:rPr>
      </w:pPr>
      <w:r w:rsidRPr="00B72C7D">
        <w:rPr>
          <w:rFonts w:ascii="Arial" w:hAnsi="Arial" w:cs="Arial"/>
          <w:b/>
          <w:bCs/>
          <w:sz w:val="16"/>
          <w:szCs w:val="16"/>
        </w:rPr>
        <w:t>NAŠE ČÍSLO JEDNACÍ:</w:t>
      </w:r>
      <w:r w:rsidR="00A27FA9">
        <w:rPr>
          <w:rFonts w:ascii="Arial" w:hAnsi="Arial" w:cs="Arial"/>
          <w:b/>
          <w:bCs/>
          <w:sz w:val="16"/>
          <w:szCs w:val="16"/>
        </w:rPr>
        <w:t xml:space="preserve"> </w:t>
      </w:r>
      <w:r w:rsidR="0068471A">
        <w:rPr>
          <w:rFonts w:ascii="Arial" w:hAnsi="Arial" w:cs="Arial"/>
          <w:b/>
          <w:bCs/>
          <w:sz w:val="16"/>
          <w:szCs w:val="16"/>
        </w:rPr>
        <w:t xml:space="preserve">01912/VC/21             </w:t>
      </w:r>
      <w:r w:rsidRPr="00B72C7D">
        <w:rPr>
          <w:rFonts w:ascii="Arial" w:hAnsi="Arial" w:cs="Arial"/>
          <w:b/>
          <w:bCs/>
          <w:sz w:val="16"/>
          <w:szCs w:val="16"/>
        </w:rPr>
        <w:t>VYŘIZUJE:</w:t>
      </w:r>
      <w:r w:rsidR="00A27FA9">
        <w:rPr>
          <w:rFonts w:ascii="Arial" w:hAnsi="Arial" w:cs="Arial"/>
          <w:b/>
          <w:bCs/>
          <w:sz w:val="16"/>
          <w:szCs w:val="16"/>
        </w:rPr>
        <w:t xml:space="preserve"> Ing. Hana Heinzelová</w:t>
      </w:r>
      <w:r w:rsidR="0068471A">
        <w:rPr>
          <w:rFonts w:ascii="Arial" w:hAnsi="Arial" w:cs="Arial"/>
          <w:b/>
          <w:bCs/>
          <w:sz w:val="16"/>
          <w:szCs w:val="16"/>
        </w:rPr>
        <w:t xml:space="preserve">      </w:t>
      </w:r>
      <w:r w:rsidRPr="00B72C7D">
        <w:rPr>
          <w:rFonts w:ascii="Arial" w:hAnsi="Arial" w:cs="Arial"/>
          <w:bCs/>
          <w:sz w:val="16"/>
          <w:szCs w:val="16"/>
        </w:rPr>
        <w:t xml:space="preserve">     </w:t>
      </w:r>
      <w:r w:rsidRPr="00B72C7D">
        <w:rPr>
          <w:rFonts w:ascii="Arial" w:hAnsi="Arial" w:cs="Arial"/>
          <w:bCs/>
          <w:sz w:val="16"/>
          <w:szCs w:val="16"/>
        </w:rPr>
        <w:tab/>
      </w:r>
      <w:r w:rsidRPr="00B72C7D">
        <w:rPr>
          <w:rFonts w:ascii="Arial" w:hAnsi="Arial" w:cs="Arial"/>
          <w:b/>
          <w:bCs/>
          <w:sz w:val="16"/>
          <w:szCs w:val="16"/>
        </w:rPr>
        <w:t>DATUM:</w:t>
      </w:r>
      <w:r w:rsidRPr="00B72C7D">
        <w:rPr>
          <w:rFonts w:ascii="Arial" w:hAnsi="Arial" w:cs="Arial"/>
          <w:sz w:val="16"/>
          <w:szCs w:val="16"/>
        </w:rPr>
        <w:t xml:space="preserve"> </w:t>
      </w:r>
      <w:r w:rsidR="00A27FA9">
        <w:rPr>
          <w:rFonts w:ascii="Arial" w:hAnsi="Arial" w:cs="Arial"/>
          <w:sz w:val="16"/>
          <w:szCs w:val="16"/>
        </w:rPr>
        <w:t>21. 4. 2021</w:t>
      </w:r>
    </w:p>
    <w:p w:rsidR="0068471A" w:rsidRDefault="0068471A" w:rsidP="00451633">
      <w:pPr>
        <w:spacing w:after="120" w:line="360" w:lineRule="auto"/>
        <w:ind w:left="851"/>
        <w:jc w:val="both"/>
        <w:rPr>
          <w:rFonts w:ascii="Arial" w:hAnsi="Arial" w:cs="Arial"/>
          <w:bCs/>
          <w:sz w:val="16"/>
          <w:szCs w:val="16"/>
        </w:rPr>
      </w:pPr>
      <w:r>
        <w:rPr>
          <w:rFonts w:ascii="Arial" w:hAnsi="Arial" w:cs="Arial"/>
          <w:bCs/>
          <w:sz w:val="16"/>
          <w:szCs w:val="16"/>
        </w:rPr>
        <w:t xml:space="preserve">                                       S-01782/VC/21     </w:t>
      </w:r>
    </w:p>
    <w:p w:rsidR="00451633" w:rsidRDefault="0068471A" w:rsidP="00451633">
      <w:pPr>
        <w:spacing w:after="120" w:line="360" w:lineRule="auto"/>
        <w:ind w:left="851"/>
        <w:jc w:val="both"/>
        <w:rPr>
          <w:rFonts w:ascii="Arial" w:hAnsi="Arial" w:cs="Arial"/>
          <w:b/>
          <w:bCs/>
          <w:color w:val="000000"/>
          <w:sz w:val="22"/>
          <w:szCs w:val="22"/>
          <w:u w:val="single"/>
        </w:rPr>
      </w:pPr>
      <w:r>
        <w:rPr>
          <w:rFonts w:ascii="Arial" w:hAnsi="Arial" w:cs="Arial"/>
          <w:bCs/>
          <w:sz w:val="16"/>
          <w:szCs w:val="16"/>
        </w:rPr>
        <w:t xml:space="preserve"> </w:t>
      </w:r>
      <w:r w:rsidR="000C5CF5" w:rsidRPr="004B7BBC">
        <w:rPr>
          <w:rFonts w:ascii="Arial" w:hAnsi="Arial" w:cs="Arial"/>
          <w:b/>
          <w:sz w:val="22"/>
          <w:szCs w:val="22"/>
          <w:u w:val="single"/>
        </w:rPr>
        <w:t xml:space="preserve">Věc: </w:t>
      </w:r>
      <w:r w:rsidR="00F95661" w:rsidRPr="004B7BBC">
        <w:rPr>
          <w:rFonts w:ascii="Arial" w:hAnsi="Arial" w:cs="Arial"/>
          <w:b/>
          <w:bCs/>
          <w:color w:val="000000"/>
          <w:sz w:val="22"/>
          <w:szCs w:val="22"/>
          <w:u w:val="single"/>
        </w:rPr>
        <w:t>Sdělení o poskytnutí informace</w:t>
      </w:r>
      <w:r w:rsidR="00E13E0C" w:rsidRPr="004B7BBC">
        <w:rPr>
          <w:rFonts w:ascii="Arial" w:hAnsi="Arial" w:cs="Arial"/>
          <w:b/>
          <w:bCs/>
          <w:color w:val="000000"/>
          <w:sz w:val="22"/>
          <w:szCs w:val="22"/>
          <w:u w:val="single"/>
        </w:rPr>
        <w:t xml:space="preserve"> </w:t>
      </w:r>
    </w:p>
    <w:p w:rsidR="00451633" w:rsidRPr="00451633" w:rsidRDefault="00A27FA9" w:rsidP="00451633">
      <w:pPr>
        <w:spacing w:after="120" w:line="360" w:lineRule="auto"/>
        <w:ind w:left="851"/>
        <w:jc w:val="both"/>
        <w:rPr>
          <w:rFonts w:ascii="Arial" w:hAnsi="Arial" w:cs="Arial"/>
          <w:b/>
          <w:bCs/>
          <w:color w:val="000000"/>
          <w:sz w:val="22"/>
          <w:szCs w:val="22"/>
          <w:u w:val="single"/>
        </w:rPr>
      </w:pPr>
      <w:r>
        <w:rPr>
          <w:rFonts w:ascii="Arial" w:hAnsi="Arial" w:cs="Arial"/>
          <w:sz w:val="22"/>
          <w:szCs w:val="22"/>
        </w:rPr>
        <w:t>P</w:t>
      </w:r>
      <w:r w:rsidR="00F263BF">
        <w:rPr>
          <w:rFonts w:ascii="Arial" w:hAnsi="Arial" w:cs="Arial"/>
          <w:sz w:val="22"/>
          <w:szCs w:val="22"/>
        </w:rPr>
        <w:t>a</w:t>
      </w:r>
      <w:r>
        <w:rPr>
          <w:rFonts w:ascii="Arial" w:hAnsi="Arial" w:cs="Arial"/>
          <w:sz w:val="22"/>
          <w:szCs w:val="22"/>
        </w:rPr>
        <w:t xml:space="preserve">ne </w:t>
      </w:r>
      <w:r w:rsidR="00134F58">
        <w:rPr>
          <w:rFonts w:ascii="Arial" w:hAnsi="Arial" w:cs="Arial"/>
          <w:sz w:val="22"/>
          <w:szCs w:val="22"/>
        </w:rPr>
        <w:t>XXX</w:t>
      </w:r>
      <w:r>
        <w:rPr>
          <w:rFonts w:ascii="Arial" w:hAnsi="Arial" w:cs="Arial"/>
          <w:sz w:val="22"/>
          <w:szCs w:val="22"/>
        </w:rPr>
        <w:t xml:space="preserve">, </w:t>
      </w:r>
    </w:p>
    <w:p w:rsidR="00A27FA9" w:rsidRDefault="00451633" w:rsidP="0068471A">
      <w:pPr>
        <w:spacing w:after="120" w:line="276" w:lineRule="auto"/>
        <w:ind w:left="851"/>
        <w:jc w:val="both"/>
        <w:rPr>
          <w:rFonts w:ascii="Arial" w:hAnsi="Arial" w:cs="Arial"/>
          <w:sz w:val="22"/>
          <w:szCs w:val="22"/>
        </w:rPr>
      </w:pPr>
      <w:r w:rsidRPr="00451633">
        <w:rPr>
          <w:rFonts w:ascii="Arial" w:hAnsi="Arial" w:cs="Arial"/>
          <w:sz w:val="22"/>
          <w:szCs w:val="22"/>
        </w:rPr>
        <w:t xml:space="preserve">Agentura ochrany přírody a krajiny ČR, Regionální pracoviště Východní Čechy, Správa CHKO Broumouvsko (dále jen „Agentura“), obdržela dne </w:t>
      </w:r>
      <w:r w:rsidR="00A27FA9">
        <w:rPr>
          <w:rFonts w:ascii="Arial" w:hAnsi="Arial" w:cs="Arial"/>
          <w:sz w:val="22"/>
          <w:szCs w:val="22"/>
        </w:rPr>
        <w:t>8. 4. 2021</w:t>
      </w:r>
      <w:r w:rsidRPr="00451633">
        <w:rPr>
          <w:rFonts w:ascii="Arial" w:hAnsi="Arial" w:cs="Arial"/>
          <w:sz w:val="22"/>
          <w:szCs w:val="22"/>
        </w:rPr>
        <w:t xml:space="preserve"> Vaš</w:t>
      </w:r>
      <w:r w:rsidR="00A27FA9">
        <w:rPr>
          <w:rFonts w:ascii="Arial" w:hAnsi="Arial" w:cs="Arial"/>
          <w:sz w:val="22"/>
          <w:szCs w:val="22"/>
        </w:rPr>
        <w:t>i</w:t>
      </w:r>
      <w:r w:rsidRPr="00451633">
        <w:rPr>
          <w:rFonts w:ascii="Arial" w:hAnsi="Arial" w:cs="Arial"/>
          <w:sz w:val="22"/>
          <w:szCs w:val="22"/>
        </w:rPr>
        <w:t xml:space="preserve"> žádost o </w:t>
      </w:r>
      <w:r w:rsidR="0068471A" w:rsidRPr="0068471A">
        <w:rPr>
          <w:rFonts w:ascii="Arial" w:hAnsi="Arial" w:cs="Arial"/>
          <w:sz w:val="22"/>
          <w:szCs w:val="22"/>
        </w:rPr>
        <w:t>zaslání písemností vydaných AOPK ČR pod č. j. 01926/VC/21,  00598/BR/07, 01962/BR/16, 00</w:t>
      </w:r>
      <w:r w:rsidR="0068471A">
        <w:rPr>
          <w:rFonts w:ascii="Arial" w:hAnsi="Arial" w:cs="Arial"/>
          <w:sz w:val="22"/>
          <w:szCs w:val="22"/>
        </w:rPr>
        <w:t>7</w:t>
      </w:r>
      <w:r w:rsidR="0068471A" w:rsidRPr="0068471A">
        <w:rPr>
          <w:rFonts w:ascii="Arial" w:hAnsi="Arial" w:cs="Arial"/>
          <w:sz w:val="22"/>
          <w:szCs w:val="22"/>
        </w:rPr>
        <w:t>18/BR/16, sdělení MěÚ Broumov č. j. PDUBR 5954/2021 a dalších stanovisek k   pozemkům</w:t>
      </w:r>
      <w:r w:rsidR="00A27FA9">
        <w:rPr>
          <w:rFonts w:ascii="Arial" w:hAnsi="Arial" w:cs="Arial"/>
          <w:sz w:val="22"/>
          <w:szCs w:val="22"/>
        </w:rPr>
        <w:t xml:space="preserve"> st.</w:t>
      </w:r>
      <w:r w:rsidR="0068471A">
        <w:rPr>
          <w:rFonts w:ascii="Arial" w:hAnsi="Arial" w:cs="Arial"/>
          <w:sz w:val="22"/>
          <w:szCs w:val="22"/>
        </w:rPr>
        <w:t xml:space="preserve"> </w:t>
      </w:r>
      <w:r w:rsidR="00A27FA9">
        <w:rPr>
          <w:rFonts w:ascii="Arial" w:hAnsi="Arial" w:cs="Arial"/>
          <w:sz w:val="22"/>
          <w:szCs w:val="22"/>
        </w:rPr>
        <w:t>p.</w:t>
      </w:r>
      <w:r w:rsidR="0068471A">
        <w:rPr>
          <w:rFonts w:ascii="Arial" w:hAnsi="Arial" w:cs="Arial"/>
          <w:sz w:val="22"/>
          <w:szCs w:val="22"/>
        </w:rPr>
        <w:t xml:space="preserve"> </w:t>
      </w:r>
      <w:r w:rsidR="00A27FA9">
        <w:rPr>
          <w:rFonts w:ascii="Arial" w:hAnsi="Arial" w:cs="Arial"/>
          <w:sz w:val="22"/>
          <w:szCs w:val="22"/>
        </w:rPr>
        <w:t>č. 134, p.</w:t>
      </w:r>
      <w:r w:rsidR="0068471A">
        <w:rPr>
          <w:rFonts w:ascii="Arial" w:hAnsi="Arial" w:cs="Arial"/>
          <w:sz w:val="22"/>
          <w:szCs w:val="22"/>
        </w:rPr>
        <w:t xml:space="preserve"> </w:t>
      </w:r>
      <w:r w:rsidR="00A27FA9">
        <w:rPr>
          <w:rFonts w:ascii="Arial" w:hAnsi="Arial" w:cs="Arial"/>
          <w:sz w:val="22"/>
          <w:szCs w:val="22"/>
        </w:rPr>
        <w:t xml:space="preserve">č. 103/5, 840 a 106/1 </w:t>
      </w:r>
      <w:r w:rsidR="0068471A">
        <w:rPr>
          <w:rFonts w:ascii="Arial" w:hAnsi="Arial" w:cs="Arial"/>
          <w:sz w:val="22"/>
          <w:szCs w:val="22"/>
        </w:rPr>
        <w:t xml:space="preserve">v </w:t>
      </w:r>
      <w:r w:rsidR="00A27FA9">
        <w:rPr>
          <w:rFonts w:ascii="Arial" w:hAnsi="Arial" w:cs="Arial"/>
          <w:sz w:val="22"/>
          <w:szCs w:val="22"/>
        </w:rPr>
        <w:t>k.</w:t>
      </w:r>
      <w:r w:rsidR="0068471A">
        <w:rPr>
          <w:rFonts w:ascii="Arial" w:hAnsi="Arial" w:cs="Arial"/>
          <w:sz w:val="22"/>
          <w:szCs w:val="22"/>
        </w:rPr>
        <w:t xml:space="preserve"> </w:t>
      </w:r>
      <w:r w:rsidR="00A27FA9">
        <w:rPr>
          <w:rFonts w:ascii="Arial" w:hAnsi="Arial" w:cs="Arial"/>
          <w:sz w:val="22"/>
          <w:szCs w:val="22"/>
        </w:rPr>
        <w:t>ú. Horní Adršpach.</w:t>
      </w:r>
    </w:p>
    <w:p w:rsidR="00451633" w:rsidRPr="00451633" w:rsidRDefault="00451633" w:rsidP="00451633">
      <w:pPr>
        <w:spacing w:after="120" w:line="276" w:lineRule="auto"/>
        <w:ind w:left="851"/>
        <w:jc w:val="both"/>
        <w:rPr>
          <w:rFonts w:ascii="Arial" w:hAnsi="Arial" w:cs="Arial"/>
          <w:b/>
          <w:bCs/>
          <w:color w:val="000000"/>
          <w:sz w:val="22"/>
          <w:szCs w:val="22"/>
          <w:u w:val="single"/>
        </w:rPr>
      </w:pPr>
      <w:r w:rsidRPr="00451633">
        <w:rPr>
          <w:rFonts w:ascii="Arial" w:hAnsi="Arial" w:cs="Arial"/>
          <w:sz w:val="22"/>
          <w:szCs w:val="22"/>
        </w:rPr>
        <w:t xml:space="preserve">Jelikož se Vaše žádost týká informací ohledně </w:t>
      </w:r>
      <w:r w:rsidRPr="00451633">
        <w:rPr>
          <w:rFonts w:ascii="Arial" w:hAnsi="Arial" w:cs="Arial"/>
          <w:i/>
          <w:sz w:val="22"/>
          <w:szCs w:val="22"/>
        </w:rPr>
        <w:t>„správních řízeních ve věcech životního prostředí, (…)“</w:t>
      </w:r>
      <w:r w:rsidRPr="00451633">
        <w:rPr>
          <w:rFonts w:ascii="Arial" w:hAnsi="Arial" w:cs="Arial"/>
          <w:sz w:val="22"/>
          <w:szCs w:val="22"/>
        </w:rPr>
        <w:t xml:space="preserve"> ve smyslu § 2 písm. a) bod 6 zákona č. 123/1998 Sb., o právu na informace o životním prostředí, v platném znění (dále jen „zákon o právu na informace o ŽP“),</w:t>
      </w:r>
      <w:r w:rsidRPr="00451633">
        <w:rPr>
          <w:rFonts w:ascii="Arial" w:hAnsi="Arial" w:cs="Arial"/>
          <w:i/>
          <w:sz w:val="22"/>
          <w:szCs w:val="22"/>
        </w:rPr>
        <w:t xml:space="preserve"> </w:t>
      </w:r>
      <w:r w:rsidRPr="00451633">
        <w:rPr>
          <w:rFonts w:ascii="Arial" w:hAnsi="Arial" w:cs="Arial"/>
          <w:sz w:val="22"/>
          <w:szCs w:val="22"/>
        </w:rPr>
        <w:t>Agentura jakožto povinný subjekt dle § 2 písm. b) bod 1 zákona o právu na informace o ŽP posuzovala Vaši žádost dle ustanovení tohoto zákona.</w:t>
      </w:r>
    </w:p>
    <w:p w:rsidR="008E2DF5" w:rsidRDefault="008E2DF5" w:rsidP="00451633">
      <w:pPr>
        <w:spacing w:after="120" w:line="276" w:lineRule="auto"/>
        <w:ind w:left="851"/>
        <w:jc w:val="both"/>
        <w:rPr>
          <w:rFonts w:ascii="Arial" w:hAnsi="Arial" w:cs="Arial"/>
          <w:sz w:val="22"/>
          <w:szCs w:val="22"/>
        </w:rPr>
      </w:pPr>
      <w:r w:rsidRPr="00451633">
        <w:rPr>
          <w:rFonts w:ascii="Arial" w:hAnsi="Arial" w:cs="Arial"/>
          <w:sz w:val="22"/>
          <w:szCs w:val="22"/>
        </w:rPr>
        <w:t>V souladu s ust. §§ 6 a 7 zákona o právu na informace o ŽP Vám Agentura zasílá</w:t>
      </w:r>
      <w:r w:rsidR="000432C1" w:rsidRPr="00451633">
        <w:rPr>
          <w:rFonts w:ascii="Arial" w:hAnsi="Arial" w:cs="Arial"/>
          <w:sz w:val="22"/>
          <w:szCs w:val="22"/>
        </w:rPr>
        <w:t xml:space="preserve"> </w:t>
      </w:r>
      <w:r w:rsidR="00E13E0C" w:rsidRPr="00451633">
        <w:rPr>
          <w:rFonts w:ascii="Arial" w:hAnsi="Arial" w:cs="Arial"/>
          <w:sz w:val="22"/>
          <w:szCs w:val="22"/>
        </w:rPr>
        <w:t>tyto informace:</w:t>
      </w:r>
    </w:p>
    <w:p w:rsidR="00633C81" w:rsidRDefault="00633C81" w:rsidP="00451633">
      <w:pPr>
        <w:spacing w:after="120" w:line="276" w:lineRule="auto"/>
        <w:ind w:left="851"/>
        <w:jc w:val="both"/>
        <w:rPr>
          <w:rFonts w:ascii="Arial" w:hAnsi="Arial" w:cs="Arial"/>
          <w:sz w:val="22"/>
          <w:szCs w:val="22"/>
        </w:rPr>
      </w:pPr>
      <w:r>
        <w:rPr>
          <w:rFonts w:ascii="Arial" w:hAnsi="Arial" w:cs="Arial"/>
          <w:sz w:val="22"/>
          <w:szCs w:val="22"/>
        </w:rPr>
        <w:t>Agentura vydala k výše uvedeným pozemkům tato stanoviska (chronologicky):</w:t>
      </w:r>
    </w:p>
    <w:p w:rsidR="00633C81" w:rsidRDefault="00633C81" w:rsidP="00451633">
      <w:pPr>
        <w:spacing w:after="120" w:line="276" w:lineRule="auto"/>
        <w:ind w:left="851"/>
        <w:jc w:val="both"/>
        <w:rPr>
          <w:rFonts w:ascii="Arial" w:hAnsi="Arial" w:cs="Arial"/>
          <w:sz w:val="22"/>
          <w:szCs w:val="22"/>
        </w:rPr>
      </w:pPr>
      <w:r>
        <w:rPr>
          <w:rFonts w:ascii="Arial" w:hAnsi="Arial" w:cs="Arial"/>
          <w:sz w:val="22"/>
          <w:szCs w:val="22"/>
        </w:rPr>
        <w:t>1_</w:t>
      </w:r>
      <w:r w:rsidRPr="0068471A">
        <w:rPr>
          <w:rFonts w:ascii="Arial" w:hAnsi="Arial" w:cs="Arial"/>
          <w:sz w:val="22"/>
          <w:szCs w:val="22"/>
        </w:rPr>
        <w:t>00598/BR/07</w:t>
      </w:r>
      <w:r w:rsidR="00EA5970">
        <w:rPr>
          <w:rFonts w:ascii="Arial" w:hAnsi="Arial" w:cs="Arial"/>
          <w:sz w:val="22"/>
          <w:szCs w:val="22"/>
        </w:rPr>
        <w:t xml:space="preserve"> Výstavba na zbořeništi v Adršpachu</w:t>
      </w:r>
    </w:p>
    <w:p w:rsidR="00633C81" w:rsidRDefault="00633C81" w:rsidP="00451633">
      <w:pPr>
        <w:spacing w:after="120" w:line="276" w:lineRule="auto"/>
        <w:ind w:left="851"/>
        <w:jc w:val="both"/>
        <w:rPr>
          <w:rFonts w:ascii="Arial" w:hAnsi="Arial" w:cs="Arial"/>
          <w:sz w:val="22"/>
          <w:szCs w:val="22"/>
        </w:rPr>
      </w:pPr>
      <w:r>
        <w:rPr>
          <w:rFonts w:ascii="Arial" w:hAnsi="Arial" w:cs="Arial"/>
          <w:sz w:val="22"/>
          <w:szCs w:val="22"/>
        </w:rPr>
        <w:t>2_</w:t>
      </w:r>
      <w:r w:rsidRPr="0068471A">
        <w:rPr>
          <w:rFonts w:ascii="Arial" w:hAnsi="Arial" w:cs="Arial"/>
          <w:sz w:val="22"/>
          <w:szCs w:val="22"/>
        </w:rPr>
        <w:t>01962/BR/16</w:t>
      </w:r>
      <w:r w:rsidR="00EA5970">
        <w:rPr>
          <w:rFonts w:ascii="Arial" w:hAnsi="Arial" w:cs="Arial"/>
          <w:sz w:val="22"/>
          <w:szCs w:val="22"/>
        </w:rPr>
        <w:t xml:space="preserve"> Stanovisko k návrhu Změny </w:t>
      </w:r>
      <w:proofErr w:type="gramStart"/>
      <w:r w:rsidR="00EA5970">
        <w:rPr>
          <w:rFonts w:ascii="Arial" w:hAnsi="Arial" w:cs="Arial"/>
          <w:sz w:val="22"/>
          <w:szCs w:val="22"/>
        </w:rPr>
        <w:t>č.2 ÚP</w:t>
      </w:r>
      <w:proofErr w:type="gramEnd"/>
      <w:r w:rsidR="00EA5970">
        <w:rPr>
          <w:rFonts w:ascii="Arial" w:hAnsi="Arial" w:cs="Arial"/>
          <w:sz w:val="22"/>
          <w:szCs w:val="22"/>
        </w:rPr>
        <w:t xml:space="preserve"> Adršpach</w:t>
      </w:r>
    </w:p>
    <w:p w:rsidR="00633C81" w:rsidRDefault="00633C81" w:rsidP="00451633">
      <w:pPr>
        <w:spacing w:after="120" w:line="276" w:lineRule="auto"/>
        <w:ind w:left="851"/>
        <w:jc w:val="both"/>
        <w:rPr>
          <w:rFonts w:ascii="Arial" w:hAnsi="Arial" w:cs="Arial"/>
          <w:sz w:val="22"/>
          <w:szCs w:val="22"/>
        </w:rPr>
      </w:pPr>
      <w:r>
        <w:rPr>
          <w:rFonts w:ascii="Arial" w:hAnsi="Arial" w:cs="Arial"/>
          <w:sz w:val="22"/>
          <w:szCs w:val="22"/>
        </w:rPr>
        <w:t>3_</w:t>
      </w:r>
      <w:r w:rsidRPr="0068471A">
        <w:rPr>
          <w:rFonts w:ascii="Arial" w:hAnsi="Arial" w:cs="Arial"/>
          <w:sz w:val="22"/>
          <w:szCs w:val="22"/>
        </w:rPr>
        <w:t>00</w:t>
      </w:r>
      <w:r>
        <w:rPr>
          <w:rFonts w:ascii="Arial" w:hAnsi="Arial" w:cs="Arial"/>
          <w:sz w:val="22"/>
          <w:szCs w:val="22"/>
        </w:rPr>
        <w:t>7</w:t>
      </w:r>
      <w:r w:rsidRPr="0068471A">
        <w:rPr>
          <w:rFonts w:ascii="Arial" w:hAnsi="Arial" w:cs="Arial"/>
          <w:sz w:val="22"/>
          <w:szCs w:val="22"/>
        </w:rPr>
        <w:t>18/BR/16</w:t>
      </w:r>
      <w:r w:rsidR="00EA5970">
        <w:rPr>
          <w:rFonts w:ascii="Arial" w:hAnsi="Arial" w:cs="Arial"/>
          <w:sz w:val="22"/>
          <w:szCs w:val="22"/>
        </w:rPr>
        <w:t xml:space="preserve"> Stanovisko k veřejnému projednání změny č. 2 ÚP Adršpach</w:t>
      </w:r>
    </w:p>
    <w:p w:rsidR="00633C81" w:rsidRDefault="00633C81" w:rsidP="00633C81">
      <w:pPr>
        <w:spacing w:after="120" w:line="276" w:lineRule="auto"/>
        <w:ind w:left="851"/>
        <w:jc w:val="both"/>
        <w:rPr>
          <w:rFonts w:ascii="Arial" w:hAnsi="Arial" w:cs="Arial"/>
          <w:sz w:val="22"/>
          <w:szCs w:val="22"/>
        </w:rPr>
      </w:pPr>
      <w:r>
        <w:rPr>
          <w:rFonts w:ascii="Arial" w:hAnsi="Arial" w:cs="Arial"/>
          <w:sz w:val="22"/>
          <w:szCs w:val="22"/>
        </w:rPr>
        <w:t>4_</w:t>
      </w:r>
      <w:r w:rsidRPr="0068471A">
        <w:rPr>
          <w:rFonts w:ascii="Arial" w:hAnsi="Arial" w:cs="Arial"/>
          <w:sz w:val="22"/>
          <w:szCs w:val="22"/>
        </w:rPr>
        <w:t>01926/VC/21</w:t>
      </w:r>
      <w:r w:rsidR="00EA5970">
        <w:rPr>
          <w:rFonts w:ascii="Arial" w:hAnsi="Arial" w:cs="Arial"/>
          <w:sz w:val="22"/>
          <w:szCs w:val="22"/>
        </w:rPr>
        <w:t xml:space="preserve"> Předběžnou informaci ke stavbě roubené chalupy Horní Adršpach</w:t>
      </w:r>
    </w:p>
    <w:p w:rsidR="00633C81" w:rsidRDefault="00633C81" w:rsidP="00633C81">
      <w:pPr>
        <w:spacing w:after="120" w:line="276" w:lineRule="auto"/>
        <w:ind w:left="851"/>
        <w:jc w:val="both"/>
        <w:rPr>
          <w:rFonts w:ascii="Arial" w:hAnsi="Arial" w:cs="Arial"/>
          <w:sz w:val="22"/>
          <w:szCs w:val="22"/>
        </w:rPr>
      </w:pPr>
      <w:r>
        <w:rPr>
          <w:rFonts w:ascii="Arial" w:hAnsi="Arial" w:cs="Arial"/>
          <w:sz w:val="22"/>
          <w:szCs w:val="22"/>
        </w:rPr>
        <w:t>5_</w:t>
      </w:r>
      <w:r w:rsidRPr="0068471A">
        <w:rPr>
          <w:rFonts w:ascii="Arial" w:hAnsi="Arial" w:cs="Arial"/>
          <w:sz w:val="22"/>
          <w:szCs w:val="22"/>
        </w:rPr>
        <w:t>0</w:t>
      </w:r>
      <w:r>
        <w:rPr>
          <w:rFonts w:ascii="Arial" w:hAnsi="Arial" w:cs="Arial"/>
          <w:sz w:val="22"/>
          <w:szCs w:val="22"/>
        </w:rPr>
        <w:t>5790</w:t>
      </w:r>
      <w:r w:rsidRPr="0068471A">
        <w:rPr>
          <w:rFonts w:ascii="Arial" w:hAnsi="Arial" w:cs="Arial"/>
          <w:sz w:val="22"/>
          <w:szCs w:val="22"/>
        </w:rPr>
        <w:t>/VC/2</w:t>
      </w:r>
      <w:r>
        <w:rPr>
          <w:rFonts w:ascii="Arial" w:hAnsi="Arial" w:cs="Arial"/>
          <w:sz w:val="22"/>
          <w:szCs w:val="22"/>
        </w:rPr>
        <w:t>0</w:t>
      </w:r>
      <w:r w:rsidR="00EA5970">
        <w:rPr>
          <w:rFonts w:ascii="Arial" w:hAnsi="Arial" w:cs="Arial"/>
          <w:sz w:val="22"/>
          <w:szCs w:val="22"/>
        </w:rPr>
        <w:t xml:space="preserve"> Závazné stanovisko k knn Horní Adršpach</w:t>
      </w:r>
    </w:p>
    <w:p w:rsidR="00633C81" w:rsidRDefault="00633C81" w:rsidP="00633C81">
      <w:pPr>
        <w:spacing w:after="120" w:line="276" w:lineRule="auto"/>
        <w:ind w:left="851"/>
        <w:jc w:val="both"/>
        <w:rPr>
          <w:rFonts w:ascii="Arial" w:hAnsi="Arial" w:cs="Arial"/>
          <w:sz w:val="22"/>
          <w:szCs w:val="22"/>
        </w:rPr>
      </w:pPr>
      <w:r>
        <w:rPr>
          <w:rFonts w:ascii="Arial" w:hAnsi="Arial" w:cs="Arial"/>
          <w:sz w:val="22"/>
          <w:szCs w:val="22"/>
        </w:rPr>
        <w:t>Dále požádala o součinnost odbor územního plánování MěÚ Broumov</w:t>
      </w:r>
      <w:r w:rsidR="00EA5970">
        <w:rPr>
          <w:rFonts w:ascii="Arial" w:hAnsi="Arial" w:cs="Arial"/>
          <w:sz w:val="22"/>
          <w:szCs w:val="22"/>
        </w:rPr>
        <w:t>:</w:t>
      </w:r>
    </w:p>
    <w:p w:rsidR="00633C81" w:rsidRDefault="00633C81" w:rsidP="00633C81">
      <w:pPr>
        <w:spacing w:after="120" w:line="276" w:lineRule="auto"/>
        <w:ind w:left="851"/>
        <w:jc w:val="both"/>
        <w:rPr>
          <w:rFonts w:ascii="Arial" w:hAnsi="Arial" w:cs="Arial"/>
          <w:sz w:val="22"/>
          <w:szCs w:val="22"/>
        </w:rPr>
      </w:pPr>
      <w:r>
        <w:rPr>
          <w:rFonts w:ascii="Arial" w:hAnsi="Arial" w:cs="Arial"/>
          <w:sz w:val="22"/>
          <w:szCs w:val="22"/>
        </w:rPr>
        <w:t>6_00398/VC/21</w:t>
      </w:r>
      <w:r w:rsidR="00EA5970">
        <w:rPr>
          <w:rFonts w:ascii="Arial" w:hAnsi="Arial" w:cs="Arial"/>
          <w:sz w:val="22"/>
          <w:szCs w:val="22"/>
        </w:rPr>
        <w:t xml:space="preserve"> Žádost o součinnost stavba RD Horní Adršpach</w:t>
      </w:r>
    </w:p>
    <w:p w:rsidR="00EA5970" w:rsidRDefault="00EA5970" w:rsidP="00633C81">
      <w:pPr>
        <w:spacing w:after="120" w:line="276" w:lineRule="auto"/>
        <w:ind w:left="851"/>
        <w:jc w:val="both"/>
        <w:rPr>
          <w:rFonts w:ascii="Arial" w:hAnsi="Arial" w:cs="Arial"/>
          <w:sz w:val="22"/>
          <w:szCs w:val="22"/>
        </w:rPr>
      </w:pPr>
      <w:r>
        <w:rPr>
          <w:rFonts w:ascii="Arial" w:hAnsi="Arial" w:cs="Arial"/>
          <w:sz w:val="22"/>
          <w:szCs w:val="22"/>
        </w:rPr>
        <w:t>O</w:t>
      </w:r>
      <w:r w:rsidR="00633C81">
        <w:rPr>
          <w:rFonts w:ascii="Arial" w:hAnsi="Arial" w:cs="Arial"/>
          <w:sz w:val="22"/>
          <w:szCs w:val="22"/>
        </w:rPr>
        <w:t xml:space="preserve">bdržela od </w:t>
      </w:r>
      <w:r>
        <w:rPr>
          <w:rFonts w:ascii="Arial" w:hAnsi="Arial" w:cs="Arial"/>
          <w:sz w:val="22"/>
          <w:szCs w:val="22"/>
        </w:rPr>
        <w:t xml:space="preserve">MěÚ </w:t>
      </w:r>
      <w:proofErr w:type="gramStart"/>
      <w:r>
        <w:rPr>
          <w:rFonts w:ascii="Arial" w:hAnsi="Arial" w:cs="Arial"/>
          <w:sz w:val="22"/>
          <w:szCs w:val="22"/>
        </w:rPr>
        <w:t xml:space="preserve">Broumov </w:t>
      </w:r>
      <w:r w:rsidR="00633C81">
        <w:rPr>
          <w:rFonts w:ascii="Arial" w:hAnsi="Arial" w:cs="Arial"/>
          <w:sz w:val="22"/>
          <w:szCs w:val="22"/>
        </w:rPr>
        <w:t xml:space="preserve"> </w:t>
      </w:r>
      <w:r>
        <w:rPr>
          <w:rFonts w:ascii="Arial" w:hAnsi="Arial" w:cs="Arial"/>
          <w:sz w:val="22"/>
          <w:szCs w:val="22"/>
        </w:rPr>
        <w:t>vyjádření</w:t>
      </w:r>
      <w:proofErr w:type="gramEnd"/>
      <w:r>
        <w:rPr>
          <w:rFonts w:ascii="Arial" w:hAnsi="Arial" w:cs="Arial"/>
          <w:sz w:val="22"/>
          <w:szCs w:val="22"/>
        </w:rPr>
        <w:t xml:space="preserve"> k Z 54  Adršpach:</w:t>
      </w:r>
    </w:p>
    <w:p w:rsidR="00633C81" w:rsidRDefault="00633C81" w:rsidP="00633C81">
      <w:pPr>
        <w:spacing w:after="120" w:line="276" w:lineRule="auto"/>
        <w:ind w:left="851"/>
        <w:jc w:val="both"/>
        <w:rPr>
          <w:rFonts w:ascii="Arial" w:hAnsi="Arial" w:cs="Arial"/>
          <w:sz w:val="22"/>
          <w:szCs w:val="22"/>
        </w:rPr>
      </w:pPr>
      <w:r>
        <w:rPr>
          <w:rFonts w:ascii="Arial" w:hAnsi="Arial" w:cs="Arial"/>
          <w:sz w:val="22"/>
          <w:szCs w:val="22"/>
        </w:rPr>
        <w:t xml:space="preserve"> 7_PDMUBR 5954 2021</w:t>
      </w:r>
    </w:p>
    <w:p w:rsidR="00633C81" w:rsidRDefault="00EA5970" w:rsidP="00633C81">
      <w:pPr>
        <w:spacing w:after="120" w:line="276" w:lineRule="auto"/>
        <w:ind w:left="851"/>
        <w:jc w:val="both"/>
        <w:rPr>
          <w:rFonts w:ascii="Arial" w:hAnsi="Arial" w:cs="Arial"/>
          <w:sz w:val="22"/>
          <w:szCs w:val="22"/>
        </w:rPr>
      </w:pPr>
      <w:r>
        <w:rPr>
          <w:rFonts w:ascii="Arial" w:hAnsi="Arial" w:cs="Arial"/>
          <w:sz w:val="22"/>
          <w:szCs w:val="22"/>
        </w:rPr>
        <w:t>Výše uvedené dokumenty jsou přílohou tohoto sdělení.</w:t>
      </w:r>
    </w:p>
    <w:p w:rsidR="00633C81" w:rsidRPr="00451633" w:rsidRDefault="00633C81" w:rsidP="00451633">
      <w:pPr>
        <w:spacing w:after="120" w:line="276" w:lineRule="auto"/>
        <w:ind w:left="851"/>
        <w:jc w:val="both"/>
        <w:rPr>
          <w:rFonts w:ascii="Arial" w:hAnsi="Arial" w:cs="Arial"/>
          <w:sz w:val="22"/>
          <w:szCs w:val="22"/>
        </w:rPr>
      </w:pPr>
      <w:r w:rsidRPr="0068471A">
        <w:rPr>
          <w:rFonts w:ascii="Arial" w:hAnsi="Arial" w:cs="Arial"/>
          <w:sz w:val="22"/>
          <w:szCs w:val="22"/>
        </w:rPr>
        <w:t xml:space="preserve">  </w:t>
      </w:r>
      <w:r w:rsidR="00EA5970">
        <w:rPr>
          <w:rFonts w:ascii="Arial" w:hAnsi="Arial" w:cs="Arial"/>
          <w:sz w:val="22"/>
          <w:szCs w:val="22"/>
        </w:rPr>
        <w:t xml:space="preserve">Dále požadujete vydané rozsudky, které byly podkladem pro vymezení zastavěného území na pozemku st. p. č. 134 k. ú. Horní Adršpach. Takovým rozsudkem nedisponujeme, namísto </w:t>
      </w:r>
      <w:r w:rsidR="00EA5970">
        <w:rPr>
          <w:rFonts w:ascii="Arial" w:hAnsi="Arial" w:cs="Arial"/>
          <w:sz w:val="22"/>
          <w:szCs w:val="22"/>
        </w:rPr>
        <w:lastRenderedPageBreak/>
        <w:t>něj Vám zasíláme znění ust. § 58 zák. 183/2006 Sb. stavební zákon a kometář zveřejněn</w:t>
      </w:r>
      <w:r w:rsidR="000D4E56">
        <w:rPr>
          <w:rFonts w:ascii="Arial" w:hAnsi="Arial" w:cs="Arial"/>
          <w:sz w:val="22"/>
          <w:szCs w:val="22"/>
        </w:rPr>
        <w:t>ý v Aplikaci ASPI k dnešnímu dni:</w:t>
      </w:r>
      <w:r w:rsidR="00EA5970">
        <w:rPr>
          <w:rFonts w:ascii="Arial" w:hAnsi="Arial" w:cs="Arial"/>
          <w:sz w:val="22"/>
          <w:szCs w:val="22"/>
        </w:rPr>
        <w:t xml:space="preserve"> </w:t>
      </w:r>
    </w:p>
    <w:p w:rsidR="00633C81" w:rsidRPr="00E52E3F" w:rsidRDefault="00633C81" w:rsidP="000D4E56">
      <w:pPr>
        <w:spacing w:after="120" w:line="276" w:lineRule="auto"/>
        <w:ind w:left="851"/>
        <w:jc w:val="both"/>
        <w:rPr>
          <w:rFonts w:ascii="Arial" w:hAnsi="Arial" w:cs="Arial"/>
          <w:i/>
          <w:sz w:val="22"/>
          <w:szCs w:val="22"/>
        </w:rPr>
      </w:pPr>
      <w:r w:rsidRPr="00E52E3F">
        <w:rPr>
          <w:rFonts w:ascii="Arial" w:hAnsi="Arial" w:cs="Arial"/>
          <w:b/>
          <w:i/>
          <w:sz w:val="22"/>
          <w:szCs w:val="22"/>
        </w:rPr>
        <w:t xml:space="preserve">§ 58 </w:t>
      </w:r>
      <w:r w:rsidR="000D4E56" w:rsidRPr="00E52E3F">
        <w:rPr>
          <w:rFonts w:ascii="Arial" w:hAnsi="Arial" w:cs="Arial"/>
          <w:b/>
          <w:i/>
          <w:sz w:val="22"/>
          <w:szCs w:val="22"/>
        </w:rPr>
        <w:t>Zastavěné území</w:t>
      </w:r>
      <w:r w:rsidR="000D4E56" w:rsidRPr="00E52E3F">
        <w:rPr>
          <w:rFonts w:ascii="Arial" w:hAnsi="Arial" w:cs="Arial"/>
          <w:i/>
          <w:sz w:val="22"/>
          <w:szCs w:val="22"/>
        </w:rPr>
        <w:t xml:space="preserve"> </w:t>
      </w:r>
      <w:r w:rsidRPr="00E52E3F">
        <w:rPr>
          <w:rFonts w:ascii="Arial" w:hAnsi="Arial" w:cs="Arial"/>
          <w:i/>
          <w:sz w:val="22"/>
          <w:szCs w:val="22"/>
        </w:rPr>
        <w:t>[Komentář Leges] [DZ]</w:t>
      </w:r>
    </w:p>
    <w:p w:rsidR="00633C81" w:rsidRPr="00E52E3F" w:rsidRDefault="00633C81" w:rsidP="00633C81">
      <w:pPr>
        <w:spacing w:after="120" w:line="276" w:lineRule="auto"/>
        <w:ind w:left="851"/>
        <w:jc w:val="both"/>
        <w:rPr>
          <w:rFonts w:ascii="Arial" w:hAnsi="Arial" w:cs="Arial"/>
          <w:i/>
          <w:sz w:val="22"/>
          <w:szCs w:val="22"/>
        </w:rPr>
      </w:pPr>
      <w:r w:rsidRPr="00E52E3F">
        <w:rPr>
          <w:rFonts w:ascii="Arial" w:hAnsi="Arial" w:cs="Arial"/>
          <w:i/>
          <w:sz w:val="22"/>
          <w:szCs w:val="22"/>
        </w:rPr>
        <w:tab/>
        <w:t>(1) Na území obce se vymezuje jedno případně více zastavěných území. Hranici jednoho zastavěného území tvoří čára vedená po hranici parcel, ve výjimečných případech ji tvoří spojnice lomových bodů stávajících hranic nebo bodů na těchto hranicích.</w:t>
      </w:r>
    </w:p>
    <w:p w:rsidR="00633C81" w:rsidRPr="00E52E3F" w:rsidRDefault="00633C81" w:rsidP="00633C81">
      <w:pPr>
        <w:spacing w:after="120" w:line="276" w:lineRule="auto"/>
        <w:ind w:left="851"/>
        <w:jc w:val="both"/>
        <w:rPr>
          <w:rFonts w:ascii="Arial" w:hAnsi="Arial" w:cs="Arial"/>
          <w:i/>
          <w:sz w:val="22"/>
          <w:szCs w:val="22"/>
        </w:rPr>
      </w:pPr>
      <w:r w:rsidRPr="00E52E3F">
        <w:rPr>
          <w:rFonts w:ascii="Arial" w:hAnsi="Arial" w:cs="Arial"/>
          <w:i/>
          <w:sz w:val="22"/>
          <w:szCs w:val="22"/>
        </w:rPr>
        <w:tab/>
        <w:t>(2) Do zastavěného území se zahrnují pozemky v intravilánu, s výjimkou vinic, chmelnic, pozemků zemědělské půdy určených pro zajišťování speciální zemědělské výroby (zahradnictví) nebo pozemků přiléhajících k hranici intravilánu navrácených do orné půdy22) nebo do lesních pozemků22), a dále pozemky vně intravilánu, a to</w:t>
      </w:r>
    </w:p>
    <w:p w:rsidR="00633C81" w:rsidRPr="00E52E3F" w:rsidRDefault="00633C81" w:rsidP="00633C81">
      <w:pPr>
        <w:spacing w:after="120" w:line="276" w:lineRule="auto"/>
        <w:ind w:left="851"/>
        <w:jc w:val="both"/>
        <w:rPr>
          <w:rFonts w:ascii="Arial" w:hAnsi="Arial" w:cs="Arial"/>
          <w:i/>
          <w:sz w:val="22"/>
          <w:szCs w:val="22"/>
        </w:rPr>
      </w:pPr>
      <w:r w:rsidRPr="00E52E3F">
        <w:rPr>
          <w:rFonts w:ascii="Arial" w:hAnsi="Arial" w:cs="Arial"/>
          <w:i/>
          <w:sz w:val="22"/>
          <w:szCs w:val="22"/>
          <w:u w:val="single"/>
        </w:rPr>
        <w:t>a) zastavěné stavební pozemky</w:t>
      </w:r>
      <w:r w:rsidRPr="00E52E3F">
        <w:rPr>
          <w:rFonts w:ascii="Arial" w:hAnsi="Arial" w:cs="Arial"/>
          <w:i/>
          <w:sz w:val="22"/>
          <w:szCs w:val="22"/>
        </w:rPr>
        <w:t>,</w:t>
      </w:r>
    </w:p>
    <w:p w:rsidR="00633C81" w:rsidRPr="00E52E3F" w:rsidRDefault="00633C81" w:rsidP="00633C81">
      <w:pPr>
        <w:spacing w:after="120" w:line="276" w:lineRule="auto"/>
        <w:ind w:left="851"/>
        <w:jc w:val="both"/>
        <w:rPr>
          <w:rFonts w:ascii="Arial" w:hAnsi="Arial" w:cs="Arial"/>
          <w:i/>
          <w:sz w:val="22"/>
          <w:szCs w:val="22"/>
        </w:rPr>
      </w:pPr>
      <w:r w:rsidRPr="00E52E3F">
        <w:rPr>
          <w:rFonts w:ascii="Arial" w:hAnsi="Arial" w:cs="Arial"/>
          <w:i/>
          <w:sz w:val="22"/>
          <w:szCs w:val="22"/>
        </w:rPr>
        <w:t>b) stavební proluky,</w:t>
      </w:r>
    </w:p>
    <w:p w:rsidR="00633C81" w:rsidRPr="00E52E3F" w:rsidRDefault="00633C81" w:rsidP="00633C81">
      <w:pPr>
        <w:spacing w:after="120" w:line="276" w:lineRule="auto"/>
        <w:ind w:left="851"/>
        <w:jc w:val="both"/>
        <w:rPr>
          <w:rFonts w:ascii="Arial" w:hAnsi="Arial" w:cs="Arial"/>
          <w:i/>
          <w:sz w:val="22"/>
          <w:szCs w:val="22"/>
        </w:rPr>
      </w:pPr>
      <w:r w:rsidRPr="00E52E3F">
        <w:rPr>
          <w:rFonts w:ascii="Arial" w:hAnsi="Arial" w:cs="Arial"/>
          <w:i/>
          <w:sz w:val="22"/>
          <w:szCs w:val="22"/>
        </w:rPr>
        <w:t>c) pozemní komunikace nebo jejich části, ze kterých jsou vjezdy na ostatní pozemky zastavěného území,</w:t>
      </w:r>
    </w:p>
    <w:p w:rsidR="00633C81" w:rsidRPr="00E52E3F" w:rsidRDefault="00633C81" w:rsidP="00633C81">
      <w:pPr>
        <w:spacing w:after="120" w:line="276" w:lineRule="auto"/>
        <w:ind w:left="851"/>
        <w:jc w:val="both"/>
        <w:rPr>
          <w:rFonts w:ascii="Arial" w:hAnsi="Arial" w:cs="Arial"/>
          <w:i/>
          <w:sz w:val="22"/>
          <w:szCs w:val="22"/>
        </w:rPr>
      </w:pPr>
      <w:r w:rsidRPr="00E52E3F">
        <w:rPr>
          <w:rFonts w:ascii="Arial" w:hAnsi="Arial" w:cs="Arial"/>
          <w:i/>
          <w:sz w:val="22"/>
          <w:szCs w:val="22"/>
        </w:rPr>
        <w:t>d) ostatní veřejná prostranství1),</w:t>
      </w:r>
    </w:p>
    <w:p w:rsidR="00633C81" w:rsidRPr="00E52E3F" w:rsidRDefault="00633C81" w:rsidP="00633C81">
      <w:pPr>
        <w:spacing w:after="120" w:line="276" w:lineRule="auto"/>
        <w:ind w:left="851"/>
        <w:jc w:val="both"/>
        <w:rPr>
          <w:rFonts w:ascii="Arial" w:hAnsi="Arial" w:cs="Arial"/>
          <w:i/>
          <w:sz w:val="22"/>
          <w:szCs w:val="22"/>
        </w:rPr>
      </w:pPr>
      <w:r w:rsidRPr="00E52E3F">
        <w:rPr>
          <w:rFonts w:ascii="Arial" w:hAnsi="Arial" w:cs="Arial"/>
          <w:i/>
          <w:sz w:val="22"/>
          <w:szCs w:val="22"/>
        </w:rPr>
        <w:t>e) další pozemky, které jsou obklopeny ostatními pozemky zastavěného území, s výjimkou pozemků vinic, chmelnic a zahradnictví.</w:t>
      </w:r>
    </w:p>
    <w:p w:rsidR="00633C81" w:rsidRPr="00E52E3F" w:rsidRDefault="000D4E56" w:rsidP="00633C81">
      <w:pPr>
        <w:spacing w:after="120" w:line="276" w:lineRule="auto"/>
        <w:ind w:left="851"/>
        <w:jc w:val="both"/>
        <w:rPr>
          <w:rFonts w:ascii="Arial" w:hAnsi="Arial" w:cs="Arial"/>
          <w:i/>
          <w:sz w:val="22"/>
          <w:szCs w:val="22"/>
        </w:rPr>
      </w:pPr>
      <w:r w:rsidRPr="00E52E3F">
        <w:rPr>
          <w:rFonts w:ascii="Arial" w:hAnsi="Arial" w:cs="Arial"/>
          <w:i/>
          <w:sz w:val="22"/>
          <w:szCs w:val="22"/>
        </w:rPr>
        <w:t xml:space="preserve">      </w:t>
      </w:r>
      <w:r w:rsidR="00633C81" w:rsidRPr="00E52E3F">
        <w:rPr>
          <w:rFonts w:ascii="Arial" w:hAnsi="Arial" w:cs="Arial"/>
          <w:i/>
          <w:sz w:val="22"/>
          <w:szCs w:val="22"/>
        </w:rPr>
        <w:t>(3) Zastavěné území se vymezuje v územním plánu a aktualizuje se jeho změnou.</w:t>
      </w:r>
    </w:p>
    <w:p w:rsidR="000D4E56" w:rsidRPr="00E52E3F" w:rsidRDefault="00633C81" w:rsidP="00633C81">
      <w:pPr>
        <w:spacing w:after="120" w:line="276" w:lineRule="auto"/>
        <w:ind w:left="851"/>
        <w:jc w:val="both"/>
        <w:rPr>
          <w:rFonts w:ascii="Arial" w:hAnsi="Arial" w:cs="Arial"/>
          <w:b/>
          <w:i/>
          <w:sz w:val="22"/>
          <w:szCs w:val="22"/>
        </w:rPr>
      </w:pPr>
      <w:r w:rsidRPr="00E52E3F">
        <w:rPr>
          <w:rFonts w:ascii="Arial" w:hAnsi="Arial" w:cs="Arial"/>
          <w:b/>
          <w:i/>
          <w:sz w:val="22"/>
          <w:szCs w:val="22"/>
        </w:rPr>
        <w:t>K</w:t>
      </w:r>
      <w:r w:rsidR="000D4E56" w:rsidRPr="00E52E3F">
        <w:rPr>
          <w:rFonts w:ascii="Arial" w:hAnsi="Arial" w:cs="Arial"/>
          <w:b/>
          <w:i/>
          <w:sz w:val="22"/>
          <w:szCs w:val="22"/>
        </w:rPr>
        <w:t xml:space="preserve">omentář k odst. 2 </w:t>
      </w:r>
      <w:r w:rsidRPr="00E52E3F">
        <w:rPr>
          <w:rFonts w:ascii="Arial" w:hAnsi="Arial" w:cs="Arial"/>
          <w:b/>
          <w:i/>
          <w:sz w:val="22"/>
          <w:szCs w:val="22"/>
        </w:rPr>
        <w:t>písm. a)</w:t>
      </w:r>
      <w:r w:rsidR="000D4E56" w:rsidRPr="00E52E3F">
        <w:rPr>
          <w:rFonts w:ascii="Arial" w:hAnsi="Arial" w:cs="Arial"/>
          <w:b/>
          <w:i/>
          <w:sz w:val="22"/>
          <w:szCs w:val="22"/>
        </w:rPr>
        <w:t xml:space="preserve"> uvádí:</w:t>
      </w:r>
    </w:p>
    <w:p w:rsidR="00633C81" w:rsidRPr="00E52E3F" w:rsidRDefault="000D4E56" w:rsidP="00633C81">
      <w:pPr>
        <w:spacing w:after="120" w:line="276" w:lineRule="auto"/>
        <w:ind w:left="851"/>
        <w:jc w:val="both"/>
        <w:rPr>
          <w:rFonts w:ascii="Arial" w:hAnsi="Arial" w:cs="Arial"/>
          <w:i/>
          <w:sz w:val="22"/>
          <w:szCs w:val="22"/>
        </w:rPr>
      </w:pPr>
      <w:r w:rsidRPr="00E52E3F">
        <w:rPr>
          <w:rFonts w:ascii="Arial" w:hAnsi="Arial" w:cs="Arial"/>
          <w:i/>
          <w:sz w:val="22"/>
          <w:szCs w:val="22"/>
        </w:rPr>
        <w:t xml:space="preserve"> K vymezování zastavěného území je vhodné připomenout pojmy</w:t>
      </w:r>
    </w:p>
    <w:p w:rsidR="00633C81" w:rsidRPr="00E52E3F" w:rsidRDefault="00633C81" w:rsidP="00633C81">
      <w:pPr>
        <w:spacing w:after="120" w:line="276" w:lineRule="auto"/>
        <w:ind w:left="851"/>
        <w:jc w:val="both"/>
        <w:rPr>
          <w:rFonts w:ascii="Arial" w:hAnsi="Arial" w:cs="Arial"/>
          <w:i/>
          <w:sz w:val="22"/>
          <w:szCs w:val="22"/>
        </w:rPr>
      </w:pPr>
      <w:r w:rsidRPr="00E52E3F">
        <w:rPr>
          <w:rFonts w:ascii="Arial" w:hAnsi="Arial" w:cs="Arial"/>
          <w:i/>
          <w:sz w:val="22"/>
          <w:szCs w:val="22"/>
        </w:rPr>
        <w:tab/>
        <w:t xml:space="preserve">§ 2 odst. 1 písm. c) </w:t>
      </w:r>
      <w:r w:rsidRPr="00E52E3F">
        <w:rPr>
          <w:rFonts w:ascii="Arial" w:hAnsi="Arial" w:cs="Arial"/>
          <w:i/>
          <w:sz w:val="22"/>
          <w:szCs w:val="22"/>
          <w:u w:val="single"/>
        </w:rPr>
        <w:t>zastavěným stavebním pozemkem pozemek evidovaný v katastru nemovitostí jako stavební parcela</w:t>
      </w:r>
      <w:r w:rsidRPr="00E52E3F">
        <w:rPr>
          <w:rFonts w:ascii="Arial" w:hAnsi="Arial" w:cs="Arial"/>
          <w:i/>
          <w:sz w:val="22"/>
          <w:szCs w:val="22"/>
        </w:rPr>
        <w:t xml:space="preserve"> a další pozemkové parcely zpravidla pod společným oplocením, tvořící souvislý celek s obytnými a hospodářskými budovami. Uvedená definice využívá pojmu "stavební parcela", který je definován v § 2 písm. c) katastrálního zákona jako "pozemek evidovaný v druhu pozemku zastavěná plocha a nádvoří". Dále dle § 2 písm. d) katastrálního zákona se rozumí "pozemkovou parcelou pozemek, který není stavební parcelou."</w:t>
      </w:r>
    </w:p>
    <w:p w:rsidR="00633C81" w:rsidRPr="00E52E3F" w:rsidRDefault="00633C81" w:rsidP="00633C81">
      <w:pPr>
        <w:spacing w:after="120" w:line="276" w:lineRule="auto"/>
        <w:ind w:left="851"/>
        <w:jc w:val="both"/>
        <w:rPr>
          <w:rFonts w:ascii="Arial" w:hAnsi="Arial" w:cs="Arial"/>
          <w:i/>
          <w:sz w:val="22"/>
          <w:szCs w:val="22"/>
        </w:rPr>
      </w:pPr>
      <w:r w:rsidRPr="00E52E3F">
        <w:rPr>
          <w:rFonts w:ascii="Arial" w:hAnsi="Arial" w:cs="Arial"/>
          <w:i/>
          <w:sz w:val="22"/>
          <w:szCs w:val="22"/>
        </w:rPr>
        <w:tab/>
        <w:t xml:space="preserve">Jádrem zastavěného stavebního pozemku je tedy vždy parcela, evidovaná v katastru nemovitostí jako druh pozemku "zastavěná plocha a nádvoří". </w:t>
      </w:r>
      <w:r w:rsidRPr="00E52E3F">
        <w:rPr>
          <w:rFonts w:ascii="Arial" w:hAnsi="Arial" w:cs="Arial"/>
          <w:i/>
          <w:sz w:val="22"/>
          <w:szCs w:val="22"/>
          <w:u w:val="single"/>
        </w:rPr>
        <w:t>Uvedená parcela je zastavěným stavebním pozemkem i v případě, kdy na ní fyzicky nestojí žádný objekt (tedy zpravidla pokud na ní stála stavba, která byla následně odstraněna).</w:t>
      </w:r>
      <w:r w:rsidRPr="00E52E3F">
        <w:rPr>
          <w:rFonts w:ascii="Arial" w:hAnsi="Arial" w:cs="Arial"/>
          <w:i/>
          <w:sz w:val="22"/>
          <w:szCs w:val="22"/>
        </w:rPr>
        <w:t xml:space="preserve"> Součástí zastavěného stavebního pozemku mohou být i další pozemkové parcely, vždy tvořící souvislý celek s obytnými a hospodářskými budovami, a to zpravidla pod společným oplocením.</w:t>
      </w:r>
    </w:p>
    <w:p w:rsidR="00633C81" w:rsidRDefault="00633C81" w:rsidP="00633C81">
      <w:pPr>
        <w:spacing w:after="120" w:line="276" w:lineRule="auto"/>
        <w:ind w:left="851"/>
        <w:jc w:val="both"/>
        <w:rPr>
          <w:rFonts w:ascii="Arial" w:hAnsi="Arial" w:cs="Arial"/>
          <w:sz w:val="22"/>
          <w:szCs w:val="22"/>
        </w:rPr>
      </w:pPr>
      <w:r w:rsidRPr="00E52E3F">
        <w:rPr>
          <w:rFonts w:ascii="Arial" w:hAnsi="Arial" w:cs="Arial"/>
          <w:i/>
          <w:sz w:val="22"/>
          <w:szCs w:val="22"/>
        </w:rPr>
        <w:tab/>
        <w:t>Z definice zastavěného stavebního pozemku dle § 2 odst. 1 písm. c) stavebního zákona vyplývá, že pozemkové parcely musí tvořit "souvislý celek s obytnými a hospodářskými budovami", jinak nemohou být součástí zastavěného stavebního pozemku. Pomocným kritériem pro určení, zda pozemkové parcely tvoří či netvoří souvislý celek s uvedenými budovami, je existence společného oplocení. Zároveň je však zejména ve sporných případech nutno přihlížet také k hledisku funkčnímu, resp. provoznímu a k informacím uvedeným v katastru nemovitostí</w:t>
      </w:r>
      <w:r w:rsidRPr="00633C81">
        <w:rPr>
          <w:rFonts w:ascii="Arial" w:hAnsi="Arial" w:cs="Arial"/>
          <w:sz w:val="22"/>
          <w:szCs w:val="22"/>
        </w:rPr>
        <w:t>.</w:t>
      </w:r>
    </w:p>
    <w:p w:rsidR="0068471A" w:rsidRPr="00451633" w:rsidRDefault="0068471A" w:rsidP="0068471A">
      <w:pPr>
        <w:spacing w:after="120" w:line="276" w:lineRule="auto"/>
        <w:ind w:left="851"/>
        <w:jc w:val="both"/>
        <w:rPr>
          <w:rFonts w:ascii="Arial" w:hAnsi="Arial" w:cs="Arial"/>
          <w:sz w:val="22"/>
          <w:szCs w:val="22"/>
        </w:rPr>
      </w:pPr>
      <w:r>
        <w:rPr>
          <w:rFonts w:ascii="Arial" w:eastAsia="Arial" w:hAnsi="Arial" w:cs="Arial"/>
          <w:sz w:val="22"/>
          <w:szCs w:val="22"/>
        </w:rPr>
        <w:t>Agentura zároveň upozorňuje, že v zaslaných dokumentech jsou v souladu s ust. 8</w:t>
      </w:r>
      <w:r w:rsidRPr="002633E5">
        <w:rPr>
          <w:rFonts w:ascii="Arial" w:eastAsia="Arial" w:hAnsi="Arial" w:cs="Arial"/>
          <w:sz w:val="22"/>
          <w:szCs w:val="22"/>
        </w:rPr>
        <w:t xml:space="preserve"> odst. 1</w:t>
      </w:r>
      <w:r>
        <w:rPr>
          <w:rFonts w:ascii="Arial" w:eastAsia="Arial" w:hAnsi="Arial" w:cs="Arial"/>
          <w:sz w:val="22"/>
          <w:szCs w:val="22"/>
        </w:rPr>
        <w:t xml:space="preserve"> písm. a) zákona o právu na informace o ŽP</w:t>
      </w:r>
      <w:r w:rsidRPr="002633E5">
        <w:rPr>
          <w:rFonts w:ascii="Arial" w:eastAsia="Arial" w:hAnsi="Arial" w:cs="Arial"/>
          <w:sz w:val="22"/>
          <w:szCs w:val="22"/>
        </w:rPr>
        <w:t xml:space="preserve"> anonymizovány </w:t>
      </w:r>
      <w:r w:rsidRPr="00451633">
        <w:rPr>
          <w:rFonts w:ascii="Arial" w:eastAsia="Arial" w:hAnsi="Arial" w:cs="Arial"/>
          <w:sz w:val="22"/>
          <w:szCs w:val="22"/>
        </w:rPr>
        <w:t>osobní údaje fyzických osob</w:t>
      </w:r>
      <w:r>
        <w:rPr>
          <w:rFonts w:ascii="Arial" w:eastAsia="Arial" w:hAnsi="Arial" w:cs="Arial"/>
          <w:b/>
          <w:sz w:val="22"/>
          <w:szCs w:val="22"/>
        </w:rPr>
        <w:t xml:space="preserve"> </w:t>
      </w:r>
      <w:r>
        <w:rPr>
          <w:rFonts w:ascii="Arial" w:eastAsia="Arial" w:hAnsi="Arial" w:cs="Arial"/>
          <w:sz w:val="22"/>
          <w:szCs w:val="22"/>
        </w:rPr>
        <w:t xml:space="preserve">s výjimkou úředních osob, které příslušnou věc vyřizovaly. Důvodem je absence zákonného </w:t>
      </w:r>
      <w:r>
        <w:rPr>
          <w:rFonts w:ascii="Arial" w:eastAsia="Arial" w:hAnsi="Arial" w:cs="Arial"/>
          <w:sz w:val="22"/>
          <w:szCs w:val="22"/>
        </w:rPr>
        <w:lastRenderedPageBreak/>
        <w:t xml:space="preserve">důvodu zpracování ve smyslu </w:t>
      </w:r>
      <w:r w:rsidRPr="002633E5">
        <w:rPr>
          <w:rFonts w:ascii="Arial" w:eastAsia="Arial" w:hAnsi="Arial" w:cs="Arial"/>
          <w:sz w:val="22"/>
          <w:szCs w:val="22"/>
        </w:rPr>
        <w:t>čl. 6 odst. 1 Nařízení Evropského parlamentu a Rady (EU) 2016/679 ze dne 27. dubna 2016 o ochraně fyzických osob v souvislosti se zpracováním osobních údajů a o volném pohybu těchto údajů a o zrušení směrnice 95/46/ES (GDPR).</w:t>
      </w:r>
    </w:p>
    <w:p w:rsidR="00683C50" w:rsidRPr="00451633" w:rsidRDefault="00683C50" w:rsidP="00451633">
      <w:pPr>
        <w:spacing w:after="120" w:line="276" w:lineRule="auto"/>
        <w:ind w:left="851"/>
        <w:jc w:val="both"/>
        <w:rPr>
          <w:rFonts w:ascii="Arial" w:hAnsi="Arial" w:cs="Arial"/>
          <w:sz w:val="22"/>
          <w:szCs w:val="22"/>
        </w:rPr>
      </w:pPr>
    </w:p>
    <w:p w:rsidR="00A62320" w:rsidRPr="00451633" w:rsidRDefault="00A62320" w:rsidP="00451633">
      <w:pPr>
        <w:spacing w:after="120" w:line="276" w:lineRule="auto"/>
        <w:ind w:left="851"/>
        <w:jc w:val="both"/>
        <w:rPr>
          <w:rFonts w:ascii="Arial" w:hAnsi="Arial" w:cs="Arial"/>
          <w:sz w:val="22"/>
          <w:szCs w:val="22"/>
        </w:rPr>
      </w:pPr>
      <w:r w:rsidRPr="00451633">
        <w:rPr>
          <w:rFonts w:ascii="Arial" w:hAnsi="Arial" w:cs="Arial"/>
          <w:sz w:val="22"/>
          <w:szCs w:val="22"/>
        </w:rPr>
        <w:t>S pozdravem</w:t>
      </w:r>
    </w:p>
    <w:p w:rsidR="00A62320" w:rsidRPr="00C22219" w:rsidRDefault="00A62320" w:rsidP="00A62320">
      <w:pPr>
        <w:pStyle w:val="Odstavecseseznamem"/>
        <w:ind w:left="1494"/>
        <w:rPr>
          <w:rFonts w:ascii="Arial" w:hAnsi="Arial" w:cs="Arial"/>
          <w:sz w:val="22"/>
          <w:szCs w:val="22"/>
        </w:rPr>
      </w:pPr>
    </w:p>
    <w:p w:rsidR="00472B1B" w:rsidRPr="00620D00" w:rsidRDefault="00472B1B" w:rsidP="00472B1B">
      <w:pPr>
        <w:spacing w:line="276" w:lineRule="auto"/>
        <w:contextualSpacing/>
        <w:jc w:val="right"/>
        <w:rPr>
          <w:rFonts w:ascii="Arial" w:hAnsi="Arial" w:cs="Arial"/>
          <w:b/>
          <w:bCs/>
          <w:sz w:val="22"/>
          <w:szCs w:val="22"/>
        </w:rPr>
      </w:pPr>
      <w:r w:rsidRPr="00620D00">
        <w:rPr>
          <w:rFonts w:ascii="Arial" w:hAnsi="Arial" w:cs="Arial"/>
          <w:b/>
          <w:bCs/>
          <w:sz w:val="22"/>
          <w:szCs w:val="22"/>
        </w:rPr>
        <w:t xml:space="preserve">………………………………………… </w:t>
      </w:r>
    </w:p>
    <w:p w:rsidR="00472B1B" w:rsidRPr="00620D00" w:rsidRDefault="00472B1B" w:rsidP="00472B1B">
      <w:pPr>
        <w:spacing w:line="276" w:lineRule="auto"/>
        <w:ind w:left="4956" w:firstLine="708"/>
        <w:contextualSpacing/>
        <w:jc w:val="center"/>
        <w:rPr>
          <w:rFonts w:ascii="Arial" w:hAnsi="Arial" w:cs="Arial"/>
          <w:b/>
          <w:bCs/>
          <w:sz w:val="22"/>
          <w:szCs w:val="22"/>
        </w:rPr>
      </w:pPr>
      <w:r w:rsidRPr="00620D00">
        <w:rPr>
          <w:rFonts w:ascii="Arial" w:hAnsi="Arial" w:cs="Arial"/>
          <w:b/>
          <w:bCs/>
          <w:sz w:val="22"/>
          <w:szCs w:val="22"/>
        </w:rPr>
        <w:t xml:space="preserve">Ing. Hana Heinzelová </w:t>
      </w:r>
    </w:p>
    <w:p w:rsidR="00472B1B" w:rsidRPr="00620D00" w:rsidRDefault="00472B1B" w:rsidP="00472B1B">
      <w:pPr>
        <w:spacing w:line="276" w:lineRule="auto"/>
        <w:contextualSpacing/>
        <w:jc w:val="right"/>
        <w:rPr>
          <w:rFonts w:ascii="Arial" w:hAnsi="Arial" w:cs="Arial"/>
          <w:bCs/>
          <w:sz w:val="22"/>
          <w:szCs w:val="22"/>
        </w:rPr>
      </w:pPr>
      <w:r w:rsidRPr="00620D00">
        <w:rPr>
          <w:rFonts w:ascii="Arial" w:hAnsi="Arial" w:cs="Arial"/>
          <w:bCs/>
          <w:sz w:val="22"/>
          <w:szCs w:val="22"/>
        </w:rPr>
        <w:t>vedoucí Správy CHKO Broumovsko</w:t>
      </w:r>
    </w:p>
    <w:p w:rsidR="00A62320" w:rsidRPr="00A62320" w:rsidRDefault="00A62320" w:rsidP="00A62320">
      <w:pPr>
        <w:ind w:left="1134"/>
        <w:rPr>
          <w:rFonts w:ascii="Arial" w:hAnsi="Arial" w:cs="Arial"/>
          <w:sz w:val="22"/>
          <w:szCs w:val="22"/>
        </w:rPr>
      </w:pPr>
    </w:p>
    <w:p w:rsidR="0068471A" w:rsidRDefault="0068471A" w:rsidP="0068471A">
      <w:pPr>
        <w:spacing w:line="260" w:lineRule="exact"/>
        <w:ind w:left="1134" w:right="303"/>
        <w:rPr>
          <w:rFonts w:ascii="Arial" w:hAnsi="Arial" w:cs="Arial"/>
          <w:sz w:val="22"/>
          <w:szCs w:val="22"/>
          <w:u w:val="single"/>
        </w:rPr>
      </w:pPr>
      <w:r w:rsidRPr="00AC4753">
        <w:rPr>
          <w:rFonts w:ascii="Arial" w:hAnsi="Arial" w:cs="Arial"/>
          <w:sz w:val="22"/>
          <w:szCs w:val="22"/>
          <w:u w:val="single"/>
        </w:rPr>
        <w:t>Přílohy</w:t>
      </w:r>
      <w:r>
        <w:rPr>
          <w:rFonts w:ascii="Arial" w:hAnsi="Arial" w:cs="Arial"/>
          <w:sz w:val="22"/>
          <w:szCs w:val="22"/>
          <w:u w:val="single"/>
        </w:rPr>
        <w:t>:</w:t>
      </w:r>
    </w:p>
    <w:p w:rsidR="0068471A" w:rsidRDefault="0068471A" w:rsidP="0068471A">
      <w:pPr>
        <w:spacing w:line="260" w:lineRule="exact"/>
        <w:ind w:left="1134" w:right="303"/>
        <w:rPr>
          <w:rFonts w:ascii="Arial" w:hAnsi="Arial" w:cs="Arial"/>
          <w:sz w:val="22"/>
          <w:szCs w:val="22"/>
          <w:u w:val="single"/>
        </w:rPr>
      </w:pPr>
    </w:p>
    <w:p w:rsidR="000D4E56" w:rsidRDefault="000D4E56" w:rsidP="000D4E56">
      <w:pPr>
        <w:spacing w:after="120" w:line="276" w:lineRule="auto"/>
        <w:ind w:left="1276"/>
        <w:jc w:val="both"/>
        <w:rPr>
          <w:rFonts w:ascii="Arial" w:hAnsi="Arial" w:cs="Arial"/>
          <w:sz w:val="22"/>
          <w:szCs w:val="22"/>
        </w:rPr>
      </w:pPr>
      <w:r>
        <w:rPr>
          <w:rFonts w:ascii="Arial" w:hAnsi="Arial" w:cs="Arial"/>
          <w:sz w:val="22"/>
          <w:szCs w:val="22"/>
        </w:rPr>
        <w:t>1_</w:t>
      </w:r>
      <w:r w:rsidRPr="0068471A">
        <w:rPr>
          <w:rFonts w:ascii="Arial" w:hAnsi="Arial" w:cs="Arial"/>
          <w:sz w:val="22"/>
          <w:szCs w:val="22"/>
        </w:rPr>
        <w:t>00598/BR/07</w:t>
      </w:r>
      <w:r>
        <w:rPr>
          <w:rFonts w:ascii="Arial" w:hAnsi="Arial" w:cs="Arial"/>
          <w:sz w:val="22"/>
          <w:szCs w:val="22"/>
        </w:rPr>
        <w:t xml:space="preserve"> Výstavba na zbořeništi v Adršpachu</w:t>
      </w:r>
    </w:p>
    <w:p w:rsidR="000D4E56" w:rsidRDefault="000D4E56" w:rsidP="000D4E56">
      <w:pPr>
        <w:spacing w:after="120" w:line="276" w:lineRule="auto"/>
        <w:ind w:left="1276"/>
        <w:jc w:val="both"/>
        <w:rPr>
          <w:rFonts w:ascii="Arial" w:hAnsi="Arial" w:cs="Arial"/>
          <w:sz w:val="22"/>
          <w:szCs w:val="22"/>
        </w:rPr>
      </w:pPr>
      <w:r>
        <w:rPr>
          <w:rFonts w:ascii="Arial" w:hAnsi="Arial" w:cs="Arial"/>
          <w:sz w:val="22"/>
          <w:szCs w:val="22"/>
        </w:rPr>
        <w:t>2_</w:t>
      </w:r>
      <w:r w:rsidRPr="0068471A">
        <w:rPr>
          <w:rFonts w:ascii="Arial" w:hAnsi="Arial" w:cs="Arial"/>
          <w:sz w:val="22"/>
          <w:szCs w:val="22"/>
        </w:rPr>
        <w:t>01962/BR/16</w:t>
      </w:r>
      <w:r>
        <w:rPr>
          <w:rFonts w:ascii="Arial" w:hAnsi="Arial" w:cs="Arial"/>
          <w:sz w:val="22"/>
          <w:szCs w:val="22"/>
        </w:rPr>
        <w:t xml:space="preserve"> Stanovisko k návrhu Změny </w:t>
      </w:r>
      <w:proofErr w:type="gramStart"/>
      <w:r>
        <w:rPr>
          <w:rFonts w:ascii="Arial" w:hAnsi="Arial" w:cs="Arial"/>
          <w:sz w:val="22"/>
          <w:szCs w:val="22"/>
        </w:rPr>
        <w:t>č.2 ÚP</w:t>
      </w:r>
      <w:proofErr w:type="gramEnd"/>
      <w:r>
        <w:rPr>
          <w:rFonts w:ascii="Arial" w:hAnsi="Arial" w:cs="Arial"/>
          <w:sz w:val="22"/>
          <w:szCs w:val="22"/>
        </w:rPr>
        <w:t xml:space="preserve"> Adršpach</w:t>
      </w:r>
    </w:p>
    <w:p w:rsidR="000D4E56" w:rsidRDefault="000D4E56" w:rsidP="000D4E56">
      <w:pPr>
        <w:spacing w:after="120" w:line="276" w:lineRule="auto"/>
        <w:ind w:left="1276"/>
        <w:jc w:val="both"/>
        <w:rPr>
          <w:rFonts w:ascii="Arial" w:hAnsi="Arial" w:cs="Arial"/>
          <w:sz w:val="22"/>
          <w:szCs w:val="22"/>
        </w:rPr>
      </w:pPr>
      <w:r>
        <w:rPr>
          <w:rFonts w:ascii="Arial" w:hAnsi="Arial" w:cs="Arial"/>
          <w:sz w:val="22"/>
          <w:szCs w:val="22"/>
        </w:rPr>
        <w:t>3_</w:t>
      </w:r>
      <w:r w:rsidRPr="0068471A">
        <w:rPr>
          <w:rFonts w:ascii="Arial" w:hAnsi="Arial" w:cs="Arial"/>
          <w:sz w:val="22"/>
          <w:szCs w:val="22"/>
        </w:rPr>
        <w:t>00</w:t>
      </w:r>
      <w:r>
        <w:rPr>
          <w:rFonts w:ascii="Arial" w:hAnsi="Arial" w:cs="Arial"/>
          <w:sz w:val="22"/>
          <w:szCs w:val="22"/>
        </w:rPr>
        <w:t>7</w:t>
      </w:r>
      <w:r w:rsidRPr="0068471A">
        <w:rPr>
          <w:rFonts w:ascii="Arial" w:hAnsi="Arial" w:cs="Arial"/>
          <w:sz w:val="22"/>
          <w:szCs w:val="22"/>
        </w:rPr>
        <w:t>18/BR/16</w:t>
      </w:r>
      <w:r>
        <w:rPr>
          <w:rFonts w:ascii="Arial" w:hAnsi="Arial" w:cs="Arial"/>
          <w:sz w:val="22"/>
          <w:szCs w:val="22"/>
        </w:rPr>
        <w:t xml:space="preserve"> Stanovisko k veřejnému projednání změny č. 2 ÚP Adršpach</w:t>
      </w:r>
    </w:p>
    <w:p w:rsidR="000D4E56" w:rsidRDefault="000D4E56" w:rsidP="000D4E56">
      <w:pPr>
        <w:spacing w:after="120" w:line="276" w:lineRule="auto"/>
        <w:ind w:left="1276"/>
        <w:jc w:val="both"/>
        <w:rPr>
          <w:rFonts w:ascii="Arial" w:hAnsi="Arial" w:cs="Arial"/>
          <w:sz w:val="22"/>
          <w:szCs w:val="22"/>
        </w:rPr>
      </w:pPr>
      <w:r>
        <w:rPr>
          <w:rFonts w:ascii="Arial" w:hAnsi="Arial" w:cs="Arial"/>
          <w:sz w:val="22"/>
          <w:szCs w:val="22"/>
        </w:rPr>
        <w:t>4_</w:t>
      </w:r>
      <w:r w:rsidRPr="0068471A">
        <w:rPr>
          <w:rFonts w:ascii="Arial" w:hAnsi="Arial" w:cs="Arial"/>
          <w:sz w:val="22"/>
          <w:szCs w:val="22"/>
        </w:rPr>
        <w:t>01926/VC/21</w:t>
      </w:r>
      <w:r>
        <w:rPr>
          <w:rFonts w:ascii="Arial" w:hAnsi="Arial" w:cs="Arial"/>
          <w:sz w:val="22"/>
          <w:szCs w:val="22"/>
        </w:rPr>
        <w:t xml:space="preserve"> Předběžnou informaci ke stavbě roubené chalupy Horní Adršpach</w:t>
      </w:r>
    </w:p>
    <w:p w:rsidR="000D4E56" w:rsidRDefault="000D4E56" w:rsidP="000D4E56">
      <w:pPr>
        <w:spacing w:after="120" w:line="276" w:lineRule="auto"/>
        <w:ind w:left="1276"/>
        <w:jc w:val="both"/>
        <w:rPr>
          <w:rFonts w:ascii="Arial" w:hAnsi="Arial" w:cs="Arial"/>
          <w:sz w:val="22"/>
          <w:szCs w:val="22"/>
        </w:rPr>
      </w:pPr>
      <w:r>
        <w:rPr>
          <w:rFonts w:ascii="Arial" w:hAnsi="Arial" w:cs="Arial"/>
          <w:sz w:val="22"/>
          <w:szCs w:val="22"/>
        </w:rPr>
        <w:t>5_</w:t>
      </w:r>
      <w:r w:rsidRPr="0068471A">
        <w:rPr>
          <w:rFonts w:ascii="Arial" w:hAnsi="Arial" w:cs="Arial"/>
          <w:sz w:val="22"/>
          <w:szCs w:val="22"/>
        </w:rPr>
        <w:t>0</w:t>
      </w:r>
      <w:r>
        <w:rPr>
          <w:rFonts w:ascii="Arial" w:hAnsi="Arial" w:cs="Arial"/>
          <w:sz w:val="22"/>
          <w:szCs w:val="22"/>
        </w:rPr>
        <w:t>5790</w:t>
      </w:r>
      <w:r w:rsidRPr="0068471A">
        <w:rPr>
          <w:rFonts w:ascii="Arial" w:hAnsi="Arial" w:cs="Arial"/>
          <w:sz w:val="22"/>
          <w:szCs w:val="22"/>
        </w:rPr>
        <w:t>/VC/2</w:t>
      </w:r>
      <w:r>
        <w:rPr>
          <w:rFonts w:ascii="Arial" w:hAnsi="Arial" w:cs="Arial"/>
          <w:sz w:val="22"/>
          <w:szCs w:val="22"/>
        </w:rPr>
        <w:t>0 Závazné stanovisko k knn Horní Adršpach</w:t>
      </w:r>
    </w:p>
    <w:p w:rsidR="000D4E56" w:rsidRDefault="000D4E56" w:rsidP="000D4E56">
      <w:pPr>
        <w:spacing w:after="120" w:line="276" w:lineRule="auto"/>
        <w:ind w:left="1276"/>
        <w:jc w:val="both"/>
        <w:rPr>
          <w:rFonts w:ascii="Arial" w:hAnsi="Arial" w:cs="Arial"/>
          <w:sz w:val="22"/>
          <w:szCs w:val="22"/>
        </w:rPr>
      </w:pPr>
      <w:r>
        <w:rPr>
          <w:rFonts w:ascii="Arial" w:hAnsi="Arial" w:cs="Arial"/>
          <w:sz w:val="22"/>
          <w:szCs w:val="22"/>
        </w:rPr>
        <w:t>6_00398/VC/21 Žádost o součinnost stavba RD Horní Adršpach</w:t>
      </w:r>
    </w:p>
    <w:p w:rsidR="000D4E56" w:rsidRDefault="000D4E56" w:rsidP="000D4E56">
      <w:pPr>
        <w:spacing w:after="120" w:line="276" w:lineRule="auto"/>
        <w:ind w:left="1276"/>
        <w:jc w:val="both"/>
        <w:rPr>
          <w:rFonts w:ascii="Arial" w:hAnsi="Arial" w:cs="Arial"/>
          <w:sz w:val="22"/>
          <w:szCs w:val="22"/>
        </w:rPr>
      </w:pPr>
      <w:r>
        <w:rPr>
          <w:rFonts w:ascii="Arial" w:hAnsi="Arial" w:cs="Arial"/>
          <w:sz w:val="22"/>
          <w:szCs w:val="22"/>
        </w:rPr>
        <w:t>7_PDMUBR 5954 2021</w:t>
      </w:r>
    </w:p>
    <w:p w:rsidR="00A62320" w:rsidRPr="007A39C3" w:rsidRDefault="00A62320" w:rsidP="00A62320">
      <w:pPr>
        <w:pStyle w:val="Zkladntext2"/>
        <w:ind w:left="1134"/>
        <w:jc w:val="both"/>
        <w:outlineLvl w:val="1"/>
        <w:rPr>
          <w:rFonts w:ascii="Arial" w:hAnsi="Arial" w:cs="Arial"/>
          <w:sz w:val="22"/>
          <w:szCs w:val="22"/>
        </w:rPr>
      </w:pPr>
    </w:p>
    <w:p w:rsidR="00A62320" w:rsidRDefault="00A62320" w:rsidP="00AC4753">
      <w:pPr>
        <w:spacing w:line="260" w:lineRule="exact"/>
        <w:ind w:left="1134" w:right="303"/>
        <w:rPr>
          <w:rFonts w:ascii="Arial" w:hAnsi="Arial" w:cs="Arial"/>
          <w:sz w:val="22"/>
          <w:szCs w:val="22"/>
          <w:u w:val="single"/>
        </w:rPr>
      </w:pPr>
    </w:p>
    <w:p w:rsidR="00A62320" w:rsidRDefault="00A62320" w:rsidP="00AC4753">
      <w:pPr>
        <w:spacing w:line="260" w:lineRule="exact"/>
        <w:ind w:left="1134" w:right="303"/>
        <w:rPr>
          <w:rFonts w:ascii="Arial" w:hAnsi="Arial" w:cs="Arial"/>
          <w:sz w:val="22"/>
          <w:szCs w:val="22"/>
          <w:u w:val="single"/>
        </w:rPr>
      </w:pPr>
      <w:bookmarkStart w:id="0" w:name="_GoBack"/>
      <w:bookmarkEnd w:id="0"/>
    </w:p>
    <w:sectPr w:rsidR="00A62320" w:rsidSect="001E4311">
      <w:footerReference w:type="default" r:id="rId7"/>
      <w:headerReference w:type="first" r:id="rId8"/>
      <w:footerReference w:type="first" r:id="rId9"/>
      <w:pgSz w:w="11907" w:h="16840" w:code="9"/>
      <w:pgMar w:top="1134" w:right="1275" w:bottom="1134" w:left="680" w:header="709" w:footer="96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371" w:rsidRDefault="007D2371">
      <w:r>
        <w:separator/>
      </w:r>
    </w:p>
  </w:endnote>
  <w:endnote w:type="continuationSeparator" w:id="0">
    <w:p w:rsidR="007D2371" w:rsidRDefault="007D2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82E" w:rsidRDefault="0032782E">
    <w:pPr>
      <w:pStyle w:val="Zpat"/>
      <w:jc w:val="center"/>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82E" w:rsidRDefault="0032782E">
    <w:pPr>
      <w:pStyle w:val="Zpat"/>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371" w:rsidRDefault="007D2371">
      <w:r>
        <w:separator/>
      </w:r>
    </w:p>
  </w:footnote>
  <w:footnote w:type="continuationSeparator" w:id="0">
    <w:p w:rsidR="007D2371" w:rsidRDefault="007D2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82E" w:rsidRDefault="00F6608B">
    <w:pPr>
      <w:pStyle w:val="Zhlav"/>
      <w:spacing w:before="36" w:line="240" w:lineRule="exact"/>
    </w:pPr>
    <w:r w:rsidRPr="00F6608B">
      <w:rPr>
        <w:noProof/>
      </w:rPr>
      <w:drawing>
        <wp:anchor distT="0" distB="0" distL="114300" distR="114300" simplePos="0" relativeHeight="251659264" behindDoc="0" locked="0" layoutInCell="1" allowOverlap="1">
          <wp:simplePos x="0" y="0"/>
          <wp:positionH relativeFrom="page">
            <wp:posOffset>180975</wp:posOffset>
          </wp:positionH>
          <wp:positionV relativeFrom="page">
            <wp:posOffset>180975</wp:posOffset>
          </wp:positionV>
          <wp:extent cx="6515100" cy="828675"/>
          <wp:effectExtent l="19050" t="0" r="0" b="0"/>
          <wp:wrapSquare wrapText="bothSides"/>
          <wp:docPr id="1" name="obrázek 3" descr="HlavickaRP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avickaRPVC"/>
                  <pic:cNvPicPr>
                    <a:picLocks noChangeAspect="1" noChangeArrowheads="1"/>
                  </pic:cNvPicPr>
                </pic:nvPicPr>
                <pic:blipFill>
                  <a:blip r:embed="rId1"/>
                  <a:srcRect/>
                  <a:stretch>
                    <a:fillRect/>
                  </a:stretch>
                </pic:blipFill>
                <pic:spPr bwMode="auto">
                  <a:xfrm>
                    <a:off x="0" y="0"/>
                    <a:ext cx="6515100" cy="828675"/>
                  </a:xfrm>
                  <a:prstGeom prst="rect">
                    <a:avLst/>
                  </a:prstGeom>
                  <a:noFill/>
                  <a:ln w="9525">
                    <a:noFill/>
                    <a:miter lim="800000"/>
                    <a:headEnd/>
                    <a:tailEnd/>
                  </a:ln>
                </pic:spPr>
              </pic:pic>
            </a:graphicData>
          </a:graphic>
        </wp:anchor>
      </w:drawing>
    </w:r>
  </w:p>
  <w:p w:rsidR="0032782E" w:rsidRDefault="0032782E">
    <w:pPr>
      <w:pStyle w:val="Zhlav"/>
      <w:spacing w:before="36"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97E42"/>
    <w:multiLevelType w:val="hybridMultilevel"/>
    <w:tmpl w:val="2DC66804"/>
    <w:lvl w:ilvl="0" w:tplc="898C1FD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A926D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E127F0F"/>
    <w:multiLevelType w:val="hybridMultilevel"/>
    <w:tmpl w:val="C0287906"/>
    <w:lvl w:ilvl="0" w:tplc="9D788D9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44664524"/>
    <w:multiLevelType w:val="singleLevel"/>
    <w:tmpl w:val="04050017"/>
    <w:lvl w:ilvl="0">
      <w:start w:val="1"/>
      <w:numFmt w:val="lowerLetter"/>
      <w:lvlText w:val="%1)"/>
      <w:lvlJc w:val="left"/>
      <w:pPr>
        <w:tabs>
          <w:tab w:val="num" w:pos="360"/>
        </w:tabs>
        <w:ind w:left="360" w:hanging="360"/>
      </w:pPr>
    </w:lvl>
  </w:abstractNum>
  <w:abstractNum w:abstractNumId="4" w15:restartNumberingAfterBreak="0">
    <w:nsid w:val="491A1E4A"/>
    <w:multiLevelType w:val="hybridMultilevel"/>
    <w:tmpl w:val="93AE19C4"/>
    <w:lvl w:ilvl="0" w:tplc="ADA880DA">
      <w:start w:val="1"/>
      <w:numFmt w:val="decimal"/>
      <w:lvlText w:val="%1."/>
      <w:lvlJc w:val="left"/>
      <w:pPr>
        <w:ind w:left="284"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95A14"/>
    <w:multiLevelType w:val="hybridMultilevel"/>
    <w:tmpl w:val="D346CCDA"/>
    <w:lvl w:ilvl="0" w:tplc="50068E9E">
      <w:start w:val="1"/>
      <w:numFmt w:val="bullet"/>
      <w:lvlText w:val="-"/>
      <w:lvlJc w:val="left"/>
      <w:pPr>
        <w:ind w:left="1494" w:hanging="360"/>
      </w:pPr>
      <w:rPr>
        <w:rFonts w:ascii="Arial" w:eastAsia="Times New Roman"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6" w15:restartNumberingAfterBreak="0">
    <w:nsid w:val="731C4C5B"/>
    <w:multiLevelType w:val="hybridMultilevel"/>
    <w:tmpl w:val="58182418"/>
    <w:lvl w:ilvl="0" w:tplc="94D2D582">
      <w:start w:val="1"/>
      <w:numFmt w:val="decimal"/>
      <w:lvlText w:val="%1."/>
      <w:lvlJc w:val="left"/>
      <w:pPr>
        <w:ind w:left="1271" w:hanging="360"/>
      </w:pPr>
      <w:rPr>
        <w:rFonts w:hint="default"/>
      </w:rPr>
    </w:lvl>
    <w:lvl w:ilvl="1" w:tplc="04050019" w:tentative="1">
      <w:start w:val="1"/>
      <w:numFmt w:val="lowerLetter"/>
      <w:lvlText w:val="%2."/>
      <w:lvlJc w:val="left"/>
      <w:pPr>
        <w:ind w:left="1991" w:hanging="360"/>
      </w:pPr>
    </w:lvl>
    <w:lvl w:ilvl="2" w:tplc="0405001B" w:tentative="1">
      <w:start w:val="1"/>
      <w:numFmt w:val="lowerRoman"/>
      <w:lvlText w:val="%3."/>
      <w:lvlJc w:val="right"/>
      <w:pPr>
        <w:ind w:left="2711" w:hanging="180"/>
      </w:pPr>
    </w:lvl>
    <w:lvl w:ilvl="3" w:tplc="0405000F" w:tentative="1">
      <w:start w:val="1"/>
      <w:numFmt w:val="decimal"/>
      <w:lvlText w:val="%4."/>
      <w:lvlJc w:val="left"/>
      <w:pPr>
        <w:ind w:left="3431" w:hanging="360"/>
      </w:pPr>
    </w:lvl>
    <w:lvl w:ilvl="4" w:tplc="04050019" w:tentative="1">
      <w:start w:val="1"/>
      <w:numFmt w:val="lowerLetter"/>
      <w:lvlText w:val="%5."/>
      <w:lvlJc w:val="left"/>
      <w:pPr>
        <w:ind w:left="4151" w:hanging="360"/>
      </w:pPr>
    </w:lvl>
    <w:lvl w:ilvl="5" w:tplc="0405001B" w:tentative="1">
      <w:start w:val="1"/>
      <w:numFmt w:val="lowerRoman"/>
      <w:lvlText w:val="%6."/>
      <w:lvlJc w:val="right"/>
      <w:pPr>
        <w:ind w:left="4871" w:hanging="180"/>
      </w:pPr>
    </w:lvl>
    <w:lvl w:ilvl="6" w:tplc="0405000F" w:tentative="1">
      <w:start w:val="1"/>
      <w:numFmt w:val="decimal"/>
      <w:lvlText w:val="%7."/>
      <w:lvlJc w:val="left"/>
      <w:pPr>
        <w:ind w:left="5591" w:hanging="360"/>
      </w:pPr>
    </w:lvl>
    <w:lvl w:ilvl="7" w:tplc="04050019" w:tentative="1">
      <w:start w:val="1"/>
      <w:numFmt w:val="lowerLetter"/>
      <w:lvlText w:val="%8."/>
      <w:lvlJc w:val="left"/>
      <w:pPr>
        <w:ind w:left="6311" w:hanging="360"/>
      </w:pPr>
    </w:lvl>
    <w:lvl w:ilvl="8" w:tplc="0405001B" w:tentative="1">
      <w:start w:val="1"/>
      <w:numFmt w:val="lowerRoman"/>
      <w:lvlText w:val="%9."/>
      <w:lvlJc w:val="right"/>
      <w:pPr>
        <w:ind w:left="7031" w:hanging="180"/>
      </w:pPr>
    </w:lvl>
  </w:abstractNum>
  <w:abstractNum w:abstractNumId="7" w15:restartNumberingAfterBreak="0">
    <w:nsid w:val="73B10C76"/>
    <w:multiLevelType w:val="hybridMultilevel"/>
    <w:tmpl w:val="6A4EA7E0"/>
    <w:lvl w:ilvl="0" w:tplc="04050001">
      <w:start w:val="1"/>
      <w:numFmt w:val="bullet"/>
      <w:lvlText w:val=""/>
      <w:lvlJc w:val="left"/>
      <w:pPr>
        <w:tabs>
          <w:tab w:val="num" w:pos="1800"/>
        </w:tabs>
        <w:ind w:left="1800" w:hanging="360"/>
      </w:pPr>
      <w:rPr>
        <w:rFonts w:ascii="Symbol" w:hAnsi="Symbol" w:hint="default"/>
      </w:rPr>
    </w:lvl>
    <w:lvl w:ilvl="1" w:tplc="04050003" w:tentative="1">
      <w:start w:val="1"/>
      <w:numFmt w:val="bullet"/>
      <w:lvlText w:val="o"/>
      <w:lvlJc w:val="left"/>
      <w:pPr>
        <w:tabs>
          <w:tab w:val="num" w:pos="2520"/>
        </w:tabs>
        <w:ind w:left="2520" w:hanging="360"/>
      </w:pPr>
      <w:rPr>
        <w:rFonts w:ascii="Courier New" w:hAnsi="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78BF0C0B"/>
    <w:multiLevelType w:val="singleLevel"/>
    <w:tmpl w:val="04050017"/>
    <w:lvl w:ilvl="0">
      <w:start w:val="1"/>
      <w:numFmt w:val="lowerLetter"/>
      <w:lvlText w:val="%1)"/>
      <w:lvlJc w:val="left"/>
      <w:pPr>
        <w:tabs>
          <w:tab w:val="num" w:pos="360"/>
        </w:tabs>
        <w:ind w:left="360" w:hanging="360"/>
      </w:pPr>
    </w:lvl>
  </w:abstractNum>
  <w:num w:numId="1">
    <w:abstractNumId w:val="3"/>
  </w:num>
  <w:num w:numId="2">
    <w:abstractNumId w:val="1"/>
  </w:num>
  <w:num w:numId="3">
    <w:abstractNumId w:val="8"/>
  </w:num>
  <w:num w:numId="4">
    <w:abstractNumId w:val="7"/>
  </w:num>
  <w:num w:numId="5">
    <w:abstractNumId w:val="0"/>
  </w:num>
  <w:num w:numId="6">
    <w:abstractNumId w:val="2"/>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72E1"/>
    <w:rsid w:val="00020C94"/>
    <w:rsid w:val="000432C1"/>
    <w:rsid w:val="00072015"/>
    <w:rsid w:val="00080AE6"/>
    <w:rsid w:val="000A48A4"/>
    <w:rsid w:val="000C0404"/>
    <w:rsid w:val="000C5CF5"/>
    <w:rsid w:val="000D4E56"/>
    <w:rsid w:val="00102B3C"/>
    <w:rsid w:val="001043B1"/>
    <w:rsid w:val="00105E59"/>
    <w:rsid w:val="0012646C"/>
    <w:rsid w:val="001273F9"/>
    <w:rsid w:val="00127A25"/>
    <w:rsid w:val="00134F58"/>
    <w:rsid w:val="00156052"/>
    <w:rsid w:val="0017006F"/>
    <w:rsid w:val="00176643"/>
    <w:rsid w:val="001907EF"/>
    <w:rsid w:val="001B1069"/>
    <w:rsid w:val="001B1918"/>
    <w:rsid w:val="001B7FC7"/>
    <w:rsid w:val="001D15FF"/>
    <w:rsid w:val="001D2E95"/>
    <w:rsid w:val="001D3AEC"/>
    <w:rsid w:val="001D5431"/>
    <w:rsid w:val="001E4311"/>
    <w:rsid w:val="001E6949"/>
    <w:rsid w:val="001F1BDD"/>
    <w:rsid w:val="00222345"/>
    <w:rsid w:val="002322B2"/>
    <w:rsid w:val="0024163A"/>
    <w:rsid w:val="002517AE"/>
    <w:rsid w:val="002519FD"/>
    <w:rsid w:val="002541C2"/>
    <w:rsid w:val="00262998"/>
    <w:rsid w:val="002645F4"/>
    <w:rsid w:val="00264A80"/>
    <w:rsid w:val="00290B02"/>
    <w:rsid w:val="002960B1"/>
    <w:rsid w:val="002A31DA"/>
    <w:rsid w:val="002A4D4B"/>
    <w:rsid w:val="002B73A5"/>
    <w:rsid w:val="002C2751"/>
    <w:rsid w:val="002C5D4B"/>
    <w:rsid w:val="002E4C2C"/>
    <w:rsid w:val="003009FB"/>
    <w:rsid w:val="00305B3D"/>
    <w:rsid w:val="00311749"/>
    <w:rsid w:val="0032782E"/>
    <w:rsid w:val="00335A37"/>
    <w:rsid w:val="00342665"/>
    <w:rsid w:val="00347232"/>
    <w:rsid w:val="003647A8"/>
    <w:rsid w:val="00385915"/>
    <w:rsid w:val="003871CC"/>
    <w:rsid w:val="003B6B72"/>
    <w:rsid w:val="003C4B01"/>
    <w:rsid w:val="003E11C8"/>
    <w:rsid w:val="003F5054"/>
    <w:rsid w:val="003F633C"/>
    <w:rsid w:val="0040160E"/>
    <w:rsid w:val="00407473"/>
    <w:rsid w:val="00415BF2"/>
    <w:rsid w:val="004276B0"/>
    <w:rsid w:val="004415B7"/>
    <w:rsid w:val="00441846"/>
    <w:rsid w:val="00451633"/>
    <w:rsid w:val="00471B23"/>
    <w:rsid w:val="00472B1B"/>
    <w:rsid w:val="0049121F"/>
    <w:rsid w:val="004934FA"/>
    <w:rsid w:val="00495DDD"/>
    <w:rsid w:val="004A4BF7"/>
    <w:rsid w:val="004B7BBC"/>
    <w:rsid w:val="004D23B1"/>
    <w:rsid w:val="004D4E17"/>
    <w:rsid w:val="004E266D"/>
    <w:rsid w:val="00506925"/>
    <w:rsid w:val="0051612F"/>
    <w:rsid w:val="00521D49"/>
    <w:rsid w:val="005268B8"/>
    <w:rsid w:val="00527388"/>
    <w:rsid w:val="005326F1"/>
    <w:rsid w:val="0054090B"/>
    <w:rsid w:val="00585B09"/>
    <w:rsid w:val="005912DA"/>
    <w:rsid w:val="0059346F"/>
    <w:rsid w:val="00596693"/>
    <w:rsid w:val="005C0837"/>
    <w:rsid w:val="005C2915"/>
    <w:rsid w:val="005C32AB"/>
    <w:rsid w:val="005D6695"/>
    <w:rsid w:val="005E62C3"/>
    <w:rsid w:val="005F238F"/>
    <w:rsid w:val="00611D51"/>
    <w:rsid w:val="00620BA4"/>
    <w:rsid w:val="006332F5"/>
    <w:rsid w:val="00633C81"/>
    <w:rsid w:val="00670151"/>
    <w:rsid w:val="00674BF6"/>
    <w:rsid w:val="00683C50"/>
    <w:rsid w:val="0068471A"/>
    <w:rsid w:val="00686D56"/>
    <w:rsid w:val="006972E1"/>
    <w:rsid w:val="00700B73"/>
    <w:rsid w:val="007012C8"/>
    <w:rsid w:val="007013A6"/>
    <w:rsid w:val="00706B16"/>
    <w:rsid w:val="0073696F"/>
    <w:rsid w:val="00737377"/>
    <w:rsid w:val="00755CAA"/>
    <w:rsid w:val="00760C09"/>
    <w:rsid w:val="007744A0"/>
    <w:rsid w:val="00795B36"/>
    <w:rsid w:val="007A040D"/>
    <w:rsid w:val="007A6E86"/>
    <w:rsid w:val="007B0C9A"/>
    <w:rsid w:val="007B17FE"/>
    <w:rsid w:val="007B35F7"/>
    <w:rsid w:val="007B45C3"/>
    <w:rsid w:val="007D2371"/>
    <w:rsid w:val="007E2C9C"/>
    <w:rsid w:val="007E4575"/>
    <w:rsid w:val="007F38E5"/>
    <w:rsid w:val="008055F2"/>
    <w:rsid w:val="00805F9F"/>
    <w:rsid w:val="00827868"/>
    <w:rsid w:val="00830B13"/>
    <w:rsid w:val="008643A7"/>
    <w:rsid w:val="008668BA"/>
    <w:rsid w:val="0087649F"/>
    <w:rsid w:val="00893D04"/>
    <w:rsid w:val="008A31CB"/>
    <w:rsid w:val="008D2890"/>
    <w:rsid w:val="008D4C38"/>
    <w:rsid w:val="008D6CBA"/>
    <w:rsid w:val="008E2DF5"/>
    <w:rsid w:val="008F7544"/>
    <w:rsid w:val="00916E50"/>
    <w:rsid w:val="0093005D"/>
    <w:rsid w:val="009344E0"/>
    <w:rsid w:val="00940FDF"/>
    <w:rsid w:val="00942D25"/>
    <w:rsid w:val="00943525"/>
    <w:rsid w:val="009436C3"/>
    <w:rsid w:val="009820D2"/>
    <w:rsid w:val="00995A88"/>
    <w:rsid w:val="009A03DD"/>
    <w:rsid w:val="009A417B"/>
    <w:rsid w:val="009B1D0C"/>
    <w:rsid w:val="009C7AF7"/>
    <w:rsid w:val="009F7C17"/>
    <w:rsid w:val="00A212F7"/>
    <w:rsid w:val="00A27FA9"/>
    <w:rsid w:val="00A35FDA"/>
    <w:rsid w:val="00A4016A"/>
    <w:rsid w:val="00A41530"/>
    <w:rsid w:val="00A62320"/>
    <w:rsid w:val="00AB3471"/>
    <w:rsid w:val="00AC41A2"/>
    <w:rsid w:val="00AC4753"/>
    <w:rsid w:val="00AE2A91"/>
    <w:rsid w:val="00AE3139"/>
    <w:rsid w:val="00AE79CA"/>
    <w:rsid w:val="00AF300C"/>
    <w:rsid w:val="00B019C4"/>
    <w:rsid w:val="00B11C84"/>
    <w:rsid w:val="00B17706"/>
    <w:rsid w:val="00B2178C"/>
    <w:rsid w:val="00B278C9"/>
    <w:rsid w:val="00B32EB7"/>
    <w:rsid w:val="00B35EA1"/>
    <w:rsid w:val="00B53FB9"/>
    <w:rsid w:val="00B70268"/>
    <w:rsid w:val="00B72C7D"/>
    <w:rsid w:val="00B801BA"/>
    <w:rsid w:val="00B82D26"/>
    <w:rsid w:val="00BA6A2F"/>
    <w:rsid w:val="00BB0C75"/>
    <w:rsid w:val="00BC3AFA"/>
    <w:rsid w:val="00C1431E"/>
    <w:rsid w:val="00C30514"/>
    <w:rsid w:val="00C35A8C"/>
    <w:rsid w:val="00C43682"/>
    <w:rsid w:val="00C43F5A"/>
    <w:rsid w:val="00C52D22"/>
    <w:rsid w:val="00C52D7C"/>
    <w:rsid w:val="00C771AB"/>
    <w:rsid w:val="00CA14D9"/>
    <w:rsid w:val="00CA709C"/>
    <w:rsid w:val="00CD61D0"/>
    <w:rsid w:val="00CE3F16"/>
    <w:rsid w:val="00D05AA2"/>
    <w:rsid w:val="00D1246D"/>
    <w:rsid w:val="00D15A86"/>
    <w:rsid w:val="00D303D2"/>
    <w:rsid w:val="00D53E64"/>
    <w:rsid w:val="00D71251"/>
    <w:rsid w:val="00D813B4"/>
    <w:rsid w:val="00DE2468"/>
    <w:rsid w:val="00DE67D8"/>
    <w:rsid w:val="00DF038B"/>
    <w:rsid w:val="00E13E0C"/>
    <w:rsid w:val="00E16303"/>
    <w:rsid w:val="00E27963"/>
    <w:rsid w:val="00E50A24"/>
    <w:rsid w:val="00E52E3F"/>
    <w:rsid w:val="00E5579D"/>
    <w:rsid w:val="00E63071"/>
    <w:rsid w:val="00E77C55"/>
    <w:rsid w:val="00E87490"/>
    <w:rsid w:val="00E95268"/>
    <w:rsid w:val="00EA05AA"/>
    <w:rsid w:val="00EA5970"/>
    <w:rsid w:val="00EA6CFD"/>
    <w:rsid w:val="00EC14AD"/>
    <w:rsid w:val="00ED10A2"/>
    <w:rsid w:val="00EE32B0"/>
    <w:rsid w:val="00EE4606"/>
    <w:rsid w:val="00EF7EE3"/>
    <w:rsid w:val="00F02D6E"/>
    <w:rsid w:val="00F02EE5"/>
    <w:rsid w:val="00F10871"/>
    <w:rsid w:val="00F11369"/>
    <w:rsid w:val="00F262DD"/>
    <w:rsid w:val="00F263BF"/>
    <w:rsid w:val="00F31618"/>
    <w:rsid w:val="00F319AD"/>
    <w:rsid w:val="00F327BE"/>
    <w:rsid w:val="00F40853"/>
    <w:rsid w:val="00F427F1"/>
    <w:rsid w:val="00F47D20"/>
    <w:rsid w:val="00F568C7"/>
    <w:rsid w:val="00F65CFF"/>
    <w:rsid w:val="00F6608B"/>
    <w:rsid w:val="00F75CA1"/>
    <w:rsid w:val="00F764F3"/>
    <w:rsid w:val="00F90B59"/>
    <w:rsid w:val="00F95661"/>
    <w:rsid w:val="00FB0570"/>
    <w:rsid w:val="00FB225D"/>
    <w:rsid w:val="00FB3F07"/>
    <w:rsid w:val="00FC551F"/>
    <w:rsid w:val="00FC794A"/>
    <w:rsid w:val="00FD1769"/>
    <w:rsid w:val="00FF44B1"/>
    <w:rsid w:val="00FF4E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EF3FA3F-8009-4116-9B90-619EE7F4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4311"/>
  </w:style>
  <w:style w:type="paragraph" w:styleId="Nadpis1">
    <w:name w:val="heading 1"/>
    <w:basedOn w:val="Normln"/>
    <w:next w:val="Normln"/>
    <w:qFormat/>
    <w:rsid w:val="001E4311"/>
    <w:pPr>
      <w:keepNext/>
      <w:outlineLvl w:val="0"/>
    </w:pPr>
    <w:rPr>
      <w:sz w:val="24"/>
      <w:u w:val="single"/>
    </w:rPr>
  </w:style>
  <w:style w:type="paragraph" w:styleId="Nadpis2">
    <w:name w:val="heading 2"/>
    <w:basedOn w:val="Normln"/>
    <w:next w:val="Normln"/>
    <w:qFormat/>
    <w:rsid w:val="001E4311"/>
    <w:pPr>
      <w:keepNext/>
      <w:jc w:val="both"/>
      <w:outlineLvl w:val="1"/>
    </w:pPr>
    <w:rPr>
      <w:sz w:val="24"/>
      <w:u w:val="single"/>
    </w:rPr>
  </w:style>
  <w:style w:type="paragraph" w:styleId="Nadpis3">
    <w:name w:val="heading 3"/>
    <w:basedOn w:val="Normln"/>
    <w:next w:val="Normln"/>
    <w:qFormat/>
    <w:rsid w:val="001E4311"/>
    <w:pPr>
      <w:keepNext/>
      <w:jc w:val="both"/>
      <w:outlineLvl w:val="2"/>
    </w:pPr>
    <w:rPr>
      <w:b/>
      <w:i/>
    </w:rPr>
  </w:style>
  <w:style w:type="paragraph" w:styleId="Nadpis4">
    <w:name w:val="heading 4"/>
    <w:basedOn w:val="Normln"/>
    <w:next w:val="Normln"/>
    <w:qFormat/>
    <w:rsid w:val="001E4311"/>
    <w:pPr>
      <w:keepNext/>
      <w:outlineLvl w:val="3"/>
    </w:pPr>
    <w:rPr>
      <w:sz w:val="22"/>
      <w:u w:val="single"/>
    </w:rPr>
  </w:style>
  <w:style w:type="paragraph" w:styleId="Nadpis5">
    <w:name w:val="heading 5"/>
    <w:basedOn w:val="Normln"/>
    <w:next w:val="Normln"/>
    <w:qFormat/>
    <w:rsid w:val="001E4311"/>
    <w:pPr>
      <w:keepNext/>
      <w:jc w:val="right"/>
      <w:outlineLvl w:val="4"/>
    </w:pPr>
    <w:rPr>
      <w:sz w:val="24"/>
    </w:rPr>
  </w:style>
  <w:style w:type="paragraph" w:styleId="Nadpis6">
    <w:name w:val="heading 6"/>
    <w:basedOn w:val="Normln"/>
    <w:next w:val="Normln"/>
    <w:qFormat/>
    <w:rsid w:val="001E4311"/>
    <w:pPr>
      <w:keepNext/>
      <w:jc w:val="both"/>
      <w:outlineLvl w:val="5"/>
    </w:pPr>
    <w:rPr>
      <w:sz w:val="24"/>
    </w:rPr>
  </w:style>
  <w:style w:type="paragraph" w:styleId="Nadpis7">
    <w:name w:val="heading 7"/>
    <w:basedOn w:val="Normln"/>
    <w:next w:val="Normln"/>
    <w:qFormat/>
    <w:rsid w:val="001E4311"/>
    <w:pPr>
      <w:keepNext/>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1E4311"/>
    <w:pPr>
      <w:tabs>
        <w:tab w:val="center" w:pos="4536"/>
        <w:tab w:val="right" w:pos="9072"/>
      </w:tabs>
    </w:pPr>
  </w:style>
  <w:style w:type="paragraph" w:styleId="Zpat">
    <w:name w:val="footer"/>
    <w:basedOn w:val="Normln"/>
    <w:rsid w:val="001E4311"/>
    <w:pPr>
      <w:tabs>
        <w:tab w:val="center" w:pos="4536"/>
        <w:tab w:val="right" w:pos="9072"/>
      </w:tabs>
    </w:pPr>
  </w:style>
  <w:style w:type="paragraph" w:styleId="Zkladntext">
    <w:name w:val="Body Text"/>
    <w:basedOn w:val="Normln"/>
    <w:rsid w:val="001E4311"/>
    <w:pPr>
      <w:jc w:val="both"/>
    </w:pPr>
    <w:rPr>
      <w:sz w:val="24"/>
    </w:rPr>
  </w:style>
  <w:style w:type="paragraph" w:styleId="Titulek">
    <w:name w:val="caption"/>
    <w:basedOn w:val="Normln"/>
    <w:next w:val="Normln"/>
    <w:qFormat/>
    <w:rsid w:val="001E4311"/>
    <w:pPr>
      <w:framePr w:w="4204" w:h="2601" w:hSpace="141" w:wrap="around" w:vAnchor="text" w:hAnchor="page" w:x="6387" w:y="125"/>
      <w:pBdr>
        <w:top w:val="single" w:sz="6" w:space="1" w:color="auto"/>
        <w:left w:val="single" w:sz="6" w:space="1" w:color="auto"/>
        <w:bottom w:val="single" w:sz="6" w:space="1" w:color="auto"/>
        <w:right w:val="single" w:sz="6" w:space="1" w:color="auto"/>
      </w:pBdr>
    </w:pPr>
    <w:rPr>
      <w:b/>
      <w:sz w:val="24"/>
    </w:rPr>
  </w:style>
  <w:style w:type="paragraph" w:styleId="Zkladntextodsazen">
    <w:name w:val="Body Text Indent"/>
    <w:basedOn w:val="Normln"/>
    <w:rsid w:val="001E4311"/>
    <w:pPr>
      <w:keepNext/>
      <w:ind w:firstLine="708"/>
      <w:jc w:val="both"/>
      <w:outlineLvl w:val="1"/>
    </w:pPr>
    <w:rPr>
      <w:sz w:val="24"/>
    </w:rPr>
  </w:style>
  <w:style w:type="paragraph" w:styleId="Zkladntext2">
    <w:name w:val="Body Text 2"/>
    <w:basedOn w:val="Normln"/>
    <w:link w:val="Zkladntext2Char"/>
    <w:rsid w:val="001E4311"/>
    <w:rPr>
      <w:sz w:val="24"/>
    </w:rPr>
  </w:style>
  <w:style w:type="paragraph" w:styleId="Zkladntextodsazen2">
    <w:name w:val="Body Text Indent 2"/>
    <w:basedOn w:val="Normln"/>
    <w:rsid w:val="001E4311"/>
    <w:pPr>
      <w:keepNext/>
      <w:ind w:firstLine="708"/>
      <w:jc w:val="both"/>
      <w:outlineLvl w:val="1"/>
    </w:pPr>
    <w:rPr>
      <w:sz w:val="22"/>
    </w:rPr>
  </w:style>
  <w:style w:type="paragraph" w:styleId="Zkladntextodsazen3">
    <w:name w:val="Body Text Indent 3"/>
    <w:basedOn w:val="Normln"/>
    <w:rsid w:val="001E4311"/>
    <w:pPr>
      <w:ind w:left="360"/>
    </w:pPr>
    <w:rPr>
      <w:sz w:val="24"/>
    </w:rPr>
  </w:style>
  <w:style w:type="paragraph" w:customStyle="1" w:styleId="Rozloendokumentu1">
    <w:name w:val="Rozložení dokumentu1"/>
    <w:basedOn w:val="Normln"/>
    <w:semiHidden/>
    <w:rsid w:val="001E4311"/>
    <w:pPr>
      <w:shd w:val="clear" w:color="auto" w:fill="000080"/>
    </w:pPr>
    <w:rPr>
      <w:rFonts w:ascii="Tahoma" w:hAnsi="Tahoma" w:cs="Tahoma"/>
    </w:rPr>
  </w:style>
  <w:style w:type="character" w:styleId="Hypertextovodkaz">
    <w:name w:val="Hyperlink"/>
    <w:rsid w:val="001E4311"/>
    <w:rPr>
      <w:color w:val="0000FF"/>
      <w:u w:val="single"/>
    </w:rPr>
  </w:style>
  <w:style w:type="character" w:customStyle="1" w:styleId="FooterChar1">
    <w:name w:val="Footer Char1"/>
    <w:locked/>
    <w:rsid w:val="001E4311"/>
    <w:rPr>
      <w:lang w:val="cs-CZ" w:eastAsia="cs-CZ" w:bidi="ar-SA"/>
    </w:rPr>
  </w:style>
  <w:style w:type="character" w:styleId="Siln">
    <w:name w:val="Strong"/>
    <w:qFormat/>
    <w:rsid w:val="001E4311"/>
    <w:rPr>
      <w:rFonts w:cs="Times New Roman"/>
      <w:b/>
      <w:bCs/>
    </w:rPr>
  </w:style>
  <w:style w:type="character" w:customStyle="1" w:styleId="left">
    <w:name w:val="left"/>
    <w:basedOn w:val="Standardnpsmoodstavce"/>
    <w:rsid w:val="00E87490"/>
  </w:style>
  <w:style w:type="character" w:styleId="Odkaznakoment">
    <w:name w:val="annotation reference"/>
    <w:rsid w:val="00943525"/>
    <w:rPr>
      <w:sz w:val="16"/>
      <w:szCs w:val="16"/>
    </w:rPr>
  </w:style>
  <w:style w:type="paragraph" w:styleId="Textkomente">
    <w:name w:val="annotation text"/>
    <w:basedOn w:val="Normln"/>
    <w:link w:val="TextkomenteChar"/>
    <w:rsid w:val="00943525"/>
  </w:style>
  <w:style w:type="paragraph" w:styleId="Pedmtkomente">
    <w:name w:val="annotation subject"/>
    <w:basedOn w:val="Textkomente"/>
    <w:next w:val="Textkomente"/>
    <w:semiHidden/>
    <w:rsid w:val="00943525"/>
    <w:rPr>
      <w:b/>
      <w:bCs/>
    </w:rPr>
  </w:style>
  <w:style w:type="paragraph" w:styleId="Textbubliny">
    <w:name w:val="Balloon Text"/>
    <w:basedOn w:val="Normln"/>
    <w:semiHidden/>
    <w:rsid w:val="00943525"/>
    <w:rPr>
      <w:rFonts w:ascii="Tahoma" w:hAnsi="Tahoma" w:cs="Tahoma"/>
      <w:sz w:val="16"/>
      <w:szCs w:val="16"/>
    </w:rPr>
  </w:style>
  <w:style w:type="character" w:customStyle="1" w:styleId="Zkladntext2Char">
    <w:name w:val="Základní text 2 Char"/>
    <w:basedOn w:val="Standardnpsmoodstavce"/>
    <w:link w:val="Zkladntext2"/>
    <w:rsid w:val="00F40853"/>
    <w:rPr>
      <w:sz w:val="24"/>
    </w:rPr>
  </w:style>
  <w:style w:type="character" w:customStyle="1" w:styleId="TextkomenteChar">
    <w:name w:val="Text komentáře Char"/>
    <w:basedOn w:val="Standardnpsmoodstavce"/>
    <w:link w:val="Textkomente"/>
    <w:rsid w:val="00F40853"/>
  </w:style>
  <w:style w:type="table" w:styleId="Mkatabulky">
    <w:name w:val="Table Grid"/>
    <w:basedOn w:val="Normlntabulka"/>
    <w:rsid w:val="008D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C4753"/>
    <w:pPr>
      <w:ind w:left="720"/>
      <w:contextualSpacing/>
    </w:pPr>
  </w:style>
  <w:style w:type="paragraph" w:customStyle="1" w:styleId="Default">
    <w:name w:val="Default"/>
    <w:rsid w:val="00451633"/>
    <w:pPr>
      <w:autoSpaceDE w:val="0"/>
      <w:autoSpaceDN w:val="0"/>
      <w:adjustRightInd w:val="0"/>
    </w:pPr>
    <w:rPr>
      <w:rFonts w:ascii="Arial" w:hAnsi="Arial" w:cs="Arial"/>
      <w:color w:val="000000"/>
      <w:sz w:val="24"/>
      <w:szCs w:val="24"/>
    </w:rPr>
  </w:style>
  <w:style w:type="paragraph" w:styleId="Textpoznpodarou">
    <w:name w:val="footnote text"/>
    <w:basedOn w:val="Normln"/>
    <w:link w:val="TextpoznpodarouChar"/>
    <w:rsid w:val="00451633"/>
  </w:style>
  <w:style w:type="character" w:customStyle="1" w:styleId="TextpoznpodarouChar">
    <w:name w:val="Text pozn. pod čarou Char"/>
    <w:basedOn w:val="Standardnpsmoodstavce"/>
    <w:link w:val="Textpoznpodarou"/>
    <w:rsid w:val="00451633"/>
  </w:style>
  <w:style w:type="character" w:styleId="Znakapoznpodarou">
    <w:name w:val="footnote reference"/>
    <w:rsid w:val="004516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23989">
      <w:bodyDiv w:val="1"/>
      <w:marLeft w:val="0"/>
      <w:marRight w:val="0"/>
      <w:marTop w:val="0"/>
      <w:marBottom w:val="0"/>
      <w:divBdr>
        <w:top w:val="none" w:sz="0" w:space="0" w:color="auto"/>
        <w:left w:val="none" w:sz="0" w:space="0" w:color="auto"/>
        <w:bottom w:val="none" w:sz="0" w:space="0" w:color="auto"/>
        <w:right w:val="none" w:sz="0" w:space="0" w:color="auto"/>
      </w:divBdr>
    </w:div>
    <w:div w:id="1477380104">
      <w:bodyDiv w:val="1"/>
      <w:marLeft w:val="0"/>
      <w:marRight w:val="0"/>
      <w:marTop w:val="0"/>
      <w:marBottom w:val="0"/>
      <w:divBdr>
        <w:top w:val="none" w:sz="0" w:space="0" w:color="auto"/>
        <w:left w:val="none" w:sz="0" w:space="0" w:color="auto"/>
        <w:bottom w:val="none" w:sz="0" w:space="0" w:color="auto"/>
        <w:right w:val="none" w:sz="0" w:space="0" w:color="auto"/>
      </w:divBdr>
    </w:div>
    <w:div w:id="213301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aterina.skalska\Plocha\Katka\graficky_manual\sablona_namestek2.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sablona_namestek2.dot</Template>
  <TotalTime>93</TotalTime>
  <Pages>1</Pages>
  <Words>853</Words>
  <Characters>5034</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5876</CharactersWithSpaces>
  <SharedDoc>false</SharedDoc>
  <HLinks>
    <vt:vector size="18" baseType="variant">
      <vt:variant>
        <vt:i4>8257643</vt:i4>
      </vt:variant>
      <vt:variant>
        <vt:i4>6</vt:i4>
      </vt:variant>
      <vt:variant>
        <vt:i4>0</vt:i4>
      </vt:variant>
      <vt:variant>
        <vt:i4>5</vt:i4>
      </vt:variant>
      <vt:variant>
        <vt:lpwstr>https://smlouvy.gov.cz/smlouva/7139667</vt:lpwstr>
      </vt:variant>
      <vt:variant>
        <vt:lpwstr/>
      </vt:variant>
      <vt:variant>
        <vt:i4>1507394</vt:i4>
      </vt:variant>
      <vt:variant>
        <vt:i4>3</vt:i4>
      </vt:variant>
      <vt:variant>
        <vt:i4>0</vt:i4>
      </vt:variant>
      <vt:variant>
        <vt:i4>5</vt:i4>
      </vt:variant>
      <vt:variant>
        <vt:lpwstr>http://www.nature.cz/</vt:lpwstr>
      </vt:variant>
      <vt:variant>
        <vt:lpwstr/>
      </vt:variant>
      <vt:variant>
        <vt:i4>4325498</vt:i4>
      </vt:variant>
      <vt:variant>
        <vt:i4>0</vt:i4>
      </vt:variant>
      <vt:variant>
        <vt:i4>0</vt:i4>
      </vt:variant>
      <vt:variant>
        <vt:i4>5</vt:i4>
      </vt:variant>
      <vt:variant>
        <vt:lpwstr>mailto:aopkcr@nature.cz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Trubačová</dc:creator>
  <cp:lastModifiedBy>Hana Heinzelová</cp:lastModifiedBy>
  <cp:revision>21</cp:revision>
  <cp:lastPrinted>2021-04-21T12:30:00Z</cp:lastPrinted>
  <dcterms:created xsi:type="dcterms:W3CDTF">2021-04-15T08:21:00Z</dcterms:created>
  <dcterms:modified xsi:type="dcterms:W3CDTF">2021-04-22T08:47:00Z</dcterms:modified>
</cp:coreProperties>
</file>